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83535B">
        <w:rPr>
          <w:b/>
          <w:noProof/>
          <w:sz w:val="24"/>
        </w:rPr>
        <w:t>3</w:t>
      </w:r>
      <w:r>
        <w:rPr>
          <w:b/>
          <w:noProof/>
          <w:sz w:val="24"/>
        </w:rPr>
        <w:tab/>
      </w:r>
      <w:r w:rsidRPr="0039161B">
        <w:rPr>
          <w:b/>
          <w:bCs/>
          <w:sz w:val="22"/>
        </w:rPr>
        <w:t>R4-2</w:t>
      </w:r>
      <w:r w:rsidR="00DE35BF">
        <w:rPr>
          <w:b/>
          <w:bCs/>
          <w:sz w:val="22"/>
        </w:rPr>
        <w:t>4</w:t>
      </w:r>
      <w:r w:rsidR="00DB6119">
        <w:rPr>
          <w:b/>
          <w:bCs/>
          <w:sz w:val="22"/>
        </w:rPr>
        <w:t>19580</w:t>
      </w:r>
      <w:bookmarkStart w:id="1" w:name="_GoBack"/>
      <w:bookmarkEnd w:id="1"/>
    </w:p>
    <w:p w:rsidR="00E953B2" w:rsidRPr="00566BC5" w:rsidRDefault="0083535B" w:rsidP="00E953B2">
      <w:pPr>
        <w:pStyle w:val="af4"/>
        <w:tabs>
          <w:tab w:val="right" w:pos="9781"/>
          <w:tab w:val="right" w:pos="13323"/>
        </w:tabs>
        <w:outlineLvl w:val="0"/>
        <w:rPr>
          <w:b w:val="0"/>
          <w:sz w:val="24"/>
        </w:rPr>
      </w:pPr>
      <w:r>
        <w:rPr>
          <w:sz w:val="24"/>
          <w:szCs w:val="24"/>
        </w:rPr>
        <w:t>Orlando</w:t>
      </w:r>
      <w:r w:rsidR="00136C85">
        <w:rPr>
          <w:sz w:val="24"/>
          <w:szCs w:val="24"/>
        </w:rPr>
        <w:t xml:space="preserve">, </w:t>
      </w:r>
      <w:r>
        <w:rPr>
          <w:sz w:val="24"/>
          <w:szCs w:val="24"/>
        </w:rPr>
        <w:t>US</w:t>
      </w:r>
      <w:r w:rsidR="00A36C40">
        <w:rPr>
          <w:sz w:val="24"/>
          <w:szCs w:val="24"/>
        </w:rPr>
        <w:t xml:space="preserve">, </w:t>
      </w:r>
      <w:r>
        <w:rPr>
          <w:sz w:val="24"/>
          <w:szCs w:val="24"/>
        </w:rPr>
        <w:t>November</w:t>
      </w:r>
      <w:r w:rsidR="00086827">
        <w:rPr>
          <w:sz w:val="24"/>
          <w:szCs w:val="24"/>
        </w:rPr>
        <w:t xml:space="preserve"> 1</w:t>
      </w:r>
      <w:r>
        <w:rPr>
          <w:sz w:val="24"/>
          <w:szCs w:val="24"/>
        </w:rPr>
        <w:t>8</w:t>
      </w:r>
      <w:r w:rsidR="00A36C40">
        <w:rPr>
          <w:sz w:val="24"/>
          <w:szCs w:val="24"/>
        </w:rPr>
        <w:t xml:space="preserve"> – </w:t>
      </w:r>
      <w:r>
        <w:rPr>
          <w:sz w:val="24"/>
          <w:szCs w:val="24"/>
        </w:rPr>
        <w:t>22</w:t>
      </w:r>
      <w:r w:rsidR="00A36C40">
        <w:rPr>
          <w:sz w:val="24"/>
          <w:szCs w:val="24"/>
        </w:rPr>
        <w:t>, 202</w:t>
      </w:r>
      <w:r w:rsidR="00440FD3">
        <w:rPr>
          <w:sz w:val="24"/>
          <w:szCs w:val="24"/>
        </w:rPr>
        <w:t>4</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297C3B">
        <w:rPr>
          <w:rFonts w:ascii="Arial" w:hAnsi="Arial" w:cs="Arial"/>
        </w:rPr>
        <w:t>Discussion o</w:t>
      </w:r>
      <w:r w:rsidR="0083535B">
        <w:rPr>
          <w:rFonts w:ascii="Arial" w:hAnsi="Arial" w:cs="Arial"/>
        </w:rPr>
        <w:t xml:space="preserve">n </w:t>
      </w:r>
      <w:r w:rsidR="00602831">
        <w:rPr>
          <w:rFonts w:ascii="Arial" w:hAnsi="Arial" w:cs="Arial"/>
        </w:rPr>
        <w:t>notes, symbols and abbreviations usage</w:t>
      </w:r>
    </w:p>
    <w:p w:rsidR="00E953B2" w:rsidRPr="003549C9" w:rsidRDefault="00E953B2" w:rsidP="00E953B2">
      <w:pPr>
        <w:spacing w:after="60"/>
        <w:ind w:left="1985" w:hanging="1985"/>
        <w:rPr>
          <w:rFonts w:ascii="Arial" w:hAnsi="Arial" w:cs="Arial"/>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r w:rsidR="003549C9" w:rsidRPr="003549C9">
        <w:rPr>
          <w:rFonts w:ascii="Arial" w:hAnsi="Arial" w:cs="Arial"/>
        </w:rPr>
        <w:t xml:space="preserve">, </w:t>
      </w:r>
      <w:proofErr w:type="spellStart"/>
      <w:r w:rsidR="003549C9" w:rsidRPr="003549C9">
        <w:rPr>
          <w:rFonts w:ascii="Arial" w:hAnsi="Arial" w:cs="Arial"/>
        </w:rPr>
        <w:t>Sanechips</w:t>
      </w:r>
      <w:proofErr w:type="spellEnd"/>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3535B">
        <w:rPr>
          <w:rFonts w:ascii="Arial" w:hAnsi="Arial" w:cs="Arial"/>
        </w:rPr>
        <w:t>9</w:t>
      </w:r>
      <w:r w:rsidR="00136C85">
        <w:rPr>
          <w:rFonts w:ascii="Arial" w:hAnsi="Arial" w:cs="Arial"/>
        </w:rPr>
        <w:t>.</w:t>
      </w:r>
      <w:r w:rsidR="005F7CCB">
        <w:rPr>
          <w:rFonts w:ascii="Arial" w:hAnsi="Arial" w:cs="Arial"/>
        </w:rPr>
        <w:t>1.1</w:t>
      </w:r>
      <w:r w:rsidR="00A600CC">
        <w:rPr>
          <w:rFonts w:ascii="Arial" w:hAnsi="Arial" w:cs="Arial"/>
        </w:rPr>
        <w:t>.</w:t>
      </w:r>
      <w:r w:rsidR="00602831">
        <w:rPr>
          <w:rFonts w:ascii="Arial" w:hAnsi="Arial" w:cs="Arial"/>
        </w:rPr>
        <w:t>3</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602831" w:rsidRDefault="00602831" w:rsidP="00F10603">
      <w:pPr>
        <w:spacing w:after="120"/>
        <w:rPr>
          <w:lang w:val="en-US"/>
        </w:rPr>
      </w:pPr>
      <w:r w:rsidRPr="00602831">
        <w:rPr>
          <w:noProof/>
          <w:lang w:val="en-US"/>
        </w:rPr>
        <mc:AlternateContent>
          <mc:Choice Requires="wps">
            <w:drawing>
              <wp:anchor distT="45720" distB="45720" distL="114300" distR="114300" simplePos="0" relativeHeight="251658240" behindDoc="0" locked="0" layoutInCell="1" allowOverlap="1">
                <wp:simplePos x="0" y="0"/>
                <wp:positionH relativeFrom="margin">
                  <wp:posOffset>19685</wp:posOffset>
                </wp:positionH>
                <wp:positionV relativeFrom="paragraph">
                  <wp:posOffset>382270</wp:posOffset>
                </wp:positionV>
                <wp:extent cx="6035040" cy="2242185"/>
                <wp:effectExtent l="0" t="0" r="22860" b="247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2242185"/>
                        </a:xfrm>
                        <a:prstGeom prst="rect">
                          <a:avLst/>
                        </a:prstGeom>
                        <a:solidFill>
                          <a:srgbClr val="FFFFFF"/>
                        </a:solidFill>
                        <a:ln w="9525">
                          <a:solidFill>
                            <a:srgbClr val="000000"/>
                          </a:solidFill>
                          <a:miter lim="800000"/>
                          <a:headEnd/>
                          <a:tailEnd/>
                        </a:ln>
                      </wps:spPr>
                      <wps:txbx>
                        <w:txbxContent>
                          <w:p w:rsidR="00976417" w:rsidRPr="00887AC7" w:rsidRDefault="00976417" w:rsidP="00602831">
                            <w:pPr>
                              <w:autoSpaceDN w:val="0"/>
                              <w:adjustRightInd w:val="0"/>
                              <w:rPr>
                                <w:b/>
                                <w:u w:val="single"/>
                                <w:lang w:eastAsia="ko-KR"/>
                              </w:rPr>
                            </w:pPr>
                            <w:r w:rsidRPr="00887AC7">
                              <w:rPr>
                                <w:b/>
                                <w:u w:val="single"/>
                                <w:lang w:eastAsia="ko-KR"/>
                              </w:rPr>
                              <w:t>Issue 3-1-2: How to reduce number of notes for improved readability</w:t>
                            </w:r>
                          </w:p>
                          <w:p w:rsidR="00976417" w:rsidRPr="00887AC7" w:rsidRDefault="00976417" w:rsidP="00602831">
                            <w:pPr>
                              <w:autoSpaceDN w:val="0"/>
                              <w:adjustRightInd w:val="0"/>
                              <w:rPr>
                                <w:b/>
                                <w:bCs/>
                                <w:szCs w:val="24"/>
                              </w:rPr>
                            </w:pPr>
                            <w:r w:rsidRPr="00887AC7">
                              <w:rPr>
                                <w:rFonts w:hint="eastAsia"/>
                                <w:b/>
                                <w:bCs/>
                                <w:szCs w:val="24"/>
                              </w:rPr>
                              <w:t>A</w:t>
                            </w:r>
                            <w:r w:rsidRPr="00887AC7">
                              <w:rPr>
                                <w:b/>
                                <w:bCs/>
                                <w:szCs w:val="24"/>
                              </w:rPr>
                              <w:t xml:space="preserve">greement: </w:t>
                            </w:r>
                          </w:p>
                          <w:p w:rsidR="00976417" w:rsidRPr="00887AC7" w:rsidRDefault="00976417" w:rsidP="00602831">
                            <w:pPr>
                              <w:numPr>
                                <w:ilvl w:val="0"/>
                                <w:numId w:val="47"/>
                              </w:numPr>
                              <w:suppressAutoHyphens w:val="0"/>
                              <w:autoSpaceDN w:val="0"/>
                              <w:adjustRightInd w:val="0"/>
                              <w:rPr>
                                <w:szCs w:val="24"/>
                                <w:lang w:val="en-US"/>
                              </w:rPr>
                            </w:pPr>
                            <w:r w:rsidRPr="00AF3577">
                              <w:rPr>
                                <w:rFonts w:eastAsia="Times New Roman" w:hint="eastAsia"/>
                                <w:szCs w:val="24"/>
                                <w:lang w:val="en-US"/>
                              </w:rPr>
                              <w:t>R</w:t>
                            </w:r>
                            <w:r w:rsidRPr="00AF3577">
                              <w:rPr>
                                <w:rFonts w:eastAsia="Times New Roman"/>
                                <w:szCs w:val="24"/>
                                <w:lang w:val="en-US"/>
                              </w:rPr>
                              <w:t>AN4 does not move the existing notes outside the table.</w:t>
                            </w:r>
                          </w:p>
                          <w:p w:rsidR="00976417" w:rsidRPr="00AF3577" w:rsidRDefault="00976417" w:rsidP="00602831">
                            <w:pPr>
                              <w:numPr>
                                <w:ilvl w:val="0"/>
                                <w:numId w:val="47"/>
                              </w:numPr>
                              <w:suppressAutoHyphens w:val="0"/>
                              <w:autoSpaceDN w:val="0"/>
                              <w:adjustRightInd w:val="0"/>
                              <w:rPr>
                                <w:szCs w:val="24"/>
                                <w:lang w:val="en-US"/>
                              </w:rPr>
                            </w:pPr>
                            <w:r w:rsidRPr="00AF3577">
                              <w:rPr>
                                <w:rFonts w:eastAsia="Times New Roman" w:hint="eastAsia"/>
                                <w:szCs w:val="24"/>
                                <w:lang w:val="en-US"/>
                              </w:rPr>
                              <w:t>T</w:t>
                            </w:r>
                            <w:r w:rsidRPr="00AF3577">
                              <w:rPr>
                                <w:rFonts w:eastAsia="Times New Roman"/>
                                <w:szCs w:val="24"/>
                                <w:lang w:val="en-US"/>
                              </w:rPr>
                              <w:t>he new note contents, which apply to the whole table, should be put in the normative text before the table.</w:t>
                            </w:r>
                          </w:p>
                          <w:p w:rsidR="00976417" w:rsidRPr="00887AC7" w:rsidRDefault="00976417" w:rsidP="00602831">
                            <w:pPr>
                              <w:autoSpaceDN w:val="0"/>
                              <w:adjustRightInd w:val="0"/>
                              <w:rPr>
                                <w:b/>
                                <w:u w:val="single"/>
                                <w:lang w:eastAsia="ko-KR"/>
                              </w:rPr>
                            </w:pPr>
                            <w:r w:rsidRPr="00887AC7">
                              <w:rPr>
                                <w:b/>
                                <w:u w:val="single"/>
                                <w:lang w:eastAsia="ko-KR"/>
                              </w:rPr>
                              <w:t>Issue 4-1-2: IE and capabilities</w:t>
                            </w:r>
                          </w:p>
                          <w:p w:rsidR="00976417" w:rsidRPr="00887AC7" w:rsidRDefault="00976417" w:rsidP="00602831">
                            <w:pPr>
                              <w:autoSpaceDN w:val="0"/>
                              <w:adjustRightInd w:val="0"/>
                              <w:rPr>
                                <w:b/>
                                <w:bCs/>
                                <w:szCs w:val="24"/>
                              </w:rPr>
                            </w:pPr>
                            <w:r w:rsidRPr="00887AC7">
                              <w:rPr>
                                <w:rFonts w:hint="eastAsia"/>
                                <w:b/>
                                <w:bCs/>
                                <w:szCs w:val="24"/>
                              </w:rPr>
                              <w:t>A</w:t>
                            </w:r>
                            <w:r w:rsidRPr="00887AC7">
                              <w:rPr>
                                <w:b/>
                                <w:bCs/>
                                <w:szCs w:val="24"/>
                              </w:rPr>
                              <w:t>greement:</w:t>
                            </w:r>
                          </w:p>
                          <w:p w:rsidR="00976417" w:rsidRPr="00946519" w:rsidRDefault="00976417" w:rsidP="00602831">
                            <w:pPr>
                              <w:numPr>
                                <w:ilvl w:val="0"/>
                                <w:numId w:val="47"/>
                              </w:numPr>
                              <w:suppressAutoHyphens w:val="0"/>
                              <w:autoSpaceDN w:val="0"/>
                              <w:adjustRightInd w:val="0"/>
                              <w:rPr>
                                <w:rFonts w:eastAsia="Times New Roman"/>
                                <w:szCs w:val="24"/>
                                <w:lang w:val="en-US"/>
                              </w:rPr>
                            </w:pPr>
                            <w:r w:rsidRPr="00946519">
                              <w:rPr>
                                <w:rFonts w:eastAsia="Times New Roman"/>
                                <w:szCs w:val="24"/>
                                <w:lang w:val="en-US"/>
                              </w:rPr>
                              <w:t>Target to correct abbreviations and align terminology, discuss which one is the correct name, at least to correct some names.</w:t>
                            </w:r>
                          </w:p>
                          <w:p w:rsidR="00976417" w:rsidRPr="00602831" w:rsidRDefault="00976417" w:rsidP="00D91454">
                            <w:pPr>
                              <w:numPr>
                                <w:ilvl w:val="1"/>
                                <w:numId w:val="48"/>
                              </w:numPr>
                              <w:suppressAutoHyphens w:val="0"/>
                              <w:autoSpaceDN w:val="0"/>
                              <w:adjustRightInd w:val="0"/>
                              <w:rPr>
                                <w:lang w:val="en-US"/>
                              </w:rPr>
                            </w:pPr>
                            <w:r w:rsidRPr="00602831">
                              <w:rPr>
                                <w:rFonts w:eastAsia="Times New Roman"/>
                                <w:szCs w:val="24"/>
                                <w:lang w:val="en-US"/>
                              </w:rPr>
                              <w:t>Companies to propose corrections and discuss the list in November meeting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1.55pt;margin-top:30.1pt;width:475.2pt;height:176.5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">
                <v:textbox>
                  <w:txbxContent>
                    <w:p w:rsidR="00976417" w:rsidRPr="00887AC7" w:rsidRDefault="00976417" w:rsidP="00602831">
                      <w:pPr>
                        <w:autoSpaceDN w:val="0"/>
                        <w:adjustRightInd w:val="0"/>
                        <w:rPr>
                          <w:b/>
                          <w:u w:val="single"/>
                          <w:lang w:eastAsia="ko-KR"/>
                        </w:rPr>
                      </w:pPr>
                      <w:r w:rsidRPr="00887AC7">
                        <w:rPr>
                          <w:b/>
                          <w:u w:val="single"/>
                          <w:lang w:eastAsia="ko-KR"/>
                        </w:rPr>
                        <w:t>Issue 3-1-2: How to reduce number of notes for improved readability</w:t>
                      </w:r>
                    </w:p>
                    <w:p w:rsidR="00976417" w:rsidRPr="00887AC7" w:rsidRDefault="00976417" w:rsidP="00602831">
                      <w:pPr>
                        <w:autoSpaceDN w:val="0"/>
                        <w:adjustRightInd w:val="0"/>
                        <w:rPr>
                          <w:b/>
                          <w:bCs/>
                          <w:szCs w:val="24"/>
                        </w:rPr>
                      </w:pPr>
                      <w:r w:rsidRPr="00887AC7">
                        <w:rPr>
                          <w:rFonts w:hint="eastAsia"/>
                          <w:b/>
                          <w:bCs/>
                          <w:szCs w:val="24"/>
                        </w:rPr>
                        <w:t>A</w:t>
                      </w:r>
                      <w:r w:rsidRPr="00887AC7">
                        <w:rPr>
                          <w:b/>
                          <w:bCs/>
                          <w:szCs w:val="24"/>
                        </w:rPr>
                        <w:t xml:space="preserve">greement: </w:t>
                      </w:r>
                    </w:p>
                    <w:p w:rsidR="00976417" w:rsidRPr="00887AC7" w:rsidRDefault="00976417" w:rsidP="00602831">
                      <w:pPr>
                        <w:numPr>
                          <w:ilvl w:val="0"/>
                          <w:numId w:val="47"/>
                        </w:numPr>
                        <w:suppressAutoHyphens w:val="0"/>
                        <w:autoSpaceDN w:val="0"/>
                        <w:adjustRightInd w:val="0"/>
                        <w:rPr>
                          <w:szCs w:val="24"/>
                          <w:lang w:val="en-US"/>
                        </w:rPr>
                      </w:pPr>
                      <w:r w:rsidRPr="00AF3577">
                        <w:rPr>
                          <w:rFonts w:eastAsia="Times New Roman" w:hint="eastAsia"/>
                          <w:szCs w:val="24"/>
                          <w:lang w:val="en-US"/>
                        </w:rPr>
                        <w:t>R</w:t>
                      </w:r>
                      <w:r w:rsidRPr="00AF3577">
                        <w:rPr>
                          <w:rFonts w:eastAsia="Times New Roman"/>
                          <w:szCs w:val="24"/>
                          <w:lang w:val="en-US"/>
                        </w:rPr>
                        <w:t>AN4 does not move the existing notes outside the table.</w:t>
                      </w:r>
                    </w:p>
                    <w:p w:rsidR="00976417" w:rsidRPr="00AF3577" w:rsidRDefault="00976417" w:rsidP="00602831">
                      <w:pPr>
                        <w:numPr>
                          <w:ilvl w:val="0"/>
                          <w:numId w:val="47"/>
                        </w:numPr>
                        <w:suppressAutoHyphens w:val="0"/>
                        <w:autoSpaceDN w:val="0"/>
                        <w:adjustRightInd w:val="0"/>
                        <w:rPr>
                          <w:szCs w:val="24"/>
                          <w:lang w:val="en-US"/>
                        </w:rPr>
                      </w:pPr>
                      <w:r w:rsidRPr="00AF3577">
                        <w:rPr>
                          <w:rFonts w:eastAsia="Times New Roman" w:hint="eastAsia"/>
                          <w:szCs w:val="24"/>
                          <w:lang w:val="en-US"/>
                        </w:rPr>
                        <w:t>T</w:t>
                      </w:r>
                      <w:r w:rsidRPr="00AF3577">
                        <w:rPr>
                          <w:rFonts w:eastAsia="Times New Roman"/>
                          <w:szCs w:val="24"/>
                          <w:lang w:val="en-US"/>
                        </w:rPr>
                        <w:t>he new note contents, which apply to the whole table, should be put in the normative text before the table.</w:t>
                      </w:r>
                    </w:p>
                    <w:p w:rsidR="00976417" w:rsidRPr="00887AC7" w:rsidRDefault="00976417" w:rsidP="00602831">
                      <w:pPr>
                        <w:autoSpaceDN w:val="0"/>
                        <w:adjustRightInd w:val="0"/>
                        <w:rPr>
                          <w:b/>
                          <w:u w:val="single"/>
                          <w:lang w:eastAsia="ko-KR"/>
                        </w:rPr>
                      </w:pPr>
                      <w:r w:rsidRPr="00887AC7">
                        <w:rPr>
                          <w:b/>
                          <w:u w:val="single"/>
                          <w:lang w:eastAsia="ko-KR"/>
                        </w:rPr>
                        <w:t>Issue 4-1-2: IE and capabilities</w:t>
                      </w:r>
                    </w:p>
                    <w:p w:rsidR="00976417" w:rsidRPr="00887AC7" w:rsidRDefault="00976417" w:rsidP="00602831">
                      <w:pPr>
                        <w:autoSpaceDN w:val="0"/>
                        <w:adjustRightInd w:val="0"/>
                        <w:rPr>
                          <w:b/>
                          <w:bCs/>
                          <w:szCs w:val="24"/>
                        </w:rPr>
                      </w:pPr>
                      <w:r w:rsidRPr="00887AC7">
                        <w:rPr>
                          <w:rFonts w:hint="eastAsia"/>
                          <w:b/>
                          <w:bCs/>
                          <w:szCs w:val="24"/>
                        </w:rPr>
                        <w:t>A</w:t>
                      </w:r>
                      <w:r w:rsidRPr="00887AC7">
                        <w:rPr>
                          <w:b/>
                          <w:bCs/>
                          <w:szCs w:val="24"/>
                        </w:rPr>
                        <w:t>greement:</w:t>
                      </w:r>
                    </w:p>
                    <w:p w:rsidR="00976417" w:rsidRPr="00946519" w:rsidRDefault="00976417" w:rsidP="00602831">
                      <w:pPr>
                        <w:numPr>
                          <w:ilvl w:val="0"/>
                          <w:numId w:val="47"/>
                        </w:numPr>
                        <w:suppressAutoHyphens w:val="0"/>
                        <w:autoSpaceDN w:val="0"/>
                        <w:adjustRightInd w:val="0"/>
                        <w:rPr>
                          <w:rFonts w:eastAsia="Times New Roman"/>
                          <w:szCs w:val="24"/>
                          <w:lang w:val="en-US"/>
                        </w:rPr>
                      </w:pPr>
                      <w:r w:rsidRPr="00946519">
                        <w:rPr>
                          <w:rFonts w:eastAsia="Times New Roman"/>
                          <w:szCs w:val="24"/>
                          <w:lang w:val="en-US"/>
                        </w:rPr>
                        <w:t>Target to correct abbreviations and align terminology, discuss which one is the correct name, at least to correct some names.</w:t>
                      </w:r>
                    </w:p>
                    <w:p w:rsidR="00976417" w:rsidRPr="00602831" w:rsidRDefault="00976417" w:rsidP="00D91454">
                      <w:pPr>
                        <w:numPr>
                          <w:ilvl w:val="1"/>
                          <w:numId w:val="48"/>
                        </w:numPr>
                        <w:suppressAutoHyphens w:val="0"/>
                        <w:autoSpaceDN w:val="0"/>
                        <w:adjustRightInd w:val="0"/>
                        <w:rPr>
                          <w:lang w:val="en-US"/>
                        </w:rPr>
                      </w:pPr>
                      <w:r w:rsidRPr="00602831">
                        <w:rPr>
                          <w:rFonts w:eastAsia="Times New Roman"/>
                          <w:szCs w:val="24"/>
                          <w:lang w:val="en-US"/>
                        </w:rPr>
                        <w:t>Companies to propose corrections and discuss the list in November meeting</w:t>
                      </w:r>
                    </w:p>
                  </w:txbxContent>
                </v:textbox>
                <w10:wrap type="square" anchorx="margin"/>
              </v:shape>
            </w:pict>
          </mc:Fallback>
        </mc:AlternateContent>
      </w:r>
      <w:r w:rsidR="005666FD">
        <w:rPr>
          <w:rFonts w:hint="eastAsia"/>
          <w:lang w:val="en-US"/>
        </w:rPr>
        <w:t>I</w:t>
      </w:r>
      <w:r w:rsidR="005666FD">
        <w:rPr>
          <w:lang w:val="en-US"/>
        </w:rPr>
        <w:t xml:space="preserve">n </w:t>
      </w:r>
      <w:r w:rsidR="0083535B">
        <w:rPr>
          <w:lang w:val="en-US"/>
        </w:rPr>
        <w:t>last RAN4 meeting, s</w:t>
      </w:r>
      <w:r>
        <w:rPr>
          <w:lang w:val="en-US"/>
        </w:rPr>
        <w:t>ome discussions on how to reduce number of notes and usage of symbols and abbreviations for improved readability have been raised. A WF was approved in [1] with the following agreements.</w:t>
      </w:r>
    </w:p>
    <w:p w:rsidR="00602831" w:rsidRDefault="00602831" w:rsidP="00F10603">
      <w:pPr>
        <w:spacing w:after="120"/>
        <w:rPr>
          <w:lang w:val="en-US"/>
        </w:rPr>
      </w:pPr>
    </w:p>
    <w:p w:rsidR="00C36EDE" w:rsidRDefault="00C36EDE" w:rsidP="00F10603">
      <w:pPr>
        <w:spacing w:after="120"/>
        <w:rPr>
          <w:lang w:val="en-US"/>
        </w:rPr>
      </w:pPr>
      <w:r>
        <w:rPr>
          <w:rFonts w:hint="eastAsia"/>
          <w:lang w:val="en-US"/>
        </w:rPr>
        <w:t>I</w:t>
      </w:r>
      <w:r>
        <w:rPr>
          <w:lang w:val="en-US"/>
        </w:rPr>
        <w:t xml:space="preserve">n this proposal, we proposed </w:t>
      </w:r>
      <w:r w:rsidR="003E6526">
        <w:rPr>
          <w:lang w:val="en-US"/>
        </w:rPr>
        <w:t xml:space="preserve">our further considerations on notes, symbols and abbreviations usage. One draft TP </w:t>
      </w:r>
      <w:r w:rsidR="00AA6AFB">
        <w:rPr>
          <w:lang w:val="en-US"/>
        </w:rPr>
        <w:t xml:space="preserve">for PRD </w:t>
      </w:r>
      <w:r w:rsidR="003E6526">
        <w:rPr>
          <w:lang w:val="en-US"/>
        </w:rPr>
        <w:t xml:space="preserve">is provided for review in </w:t>
      </w:r>
      <w:r w:rsidR="00AA6AFB">
        <w:rPr>
          <w:lang w:val="en-US"/>
        </w:rPr>
        <w:t>AI 9.1.1.1 for PRD</w:t>
      </w:r>
      <w:r w:rsidR="003E6526">
        <w:rPr>
          <w:lang w:val="en-US"/>
        </w:rPr>
        <w:t xml:space="preserve">. Several CRs for the abbreviations for “channel bandwidth” are submitted </w:t>
      </w:r>
      <w:r w:rsidR="00AA6AFB">
        <w:rPr>
          <w:lang w:val="en-US"/>
        </w:rPr>
        <w:t xml:space="preserve">as an example </w:t>
      </w:r>
      <w:r w:rsidR="003E6526">
        <w:rPr>
          <w:lang w:val="en-US"/>
        </w:rPr>
        <w:t>under this agenda.</w:t>
      </w:r>
    </w:p>
    <w:p w:rsidR="00E953B2" w:rsidRPr="005235F8" w:rsidRDefault="00E953B2" w:rsidP="00B14158">
      <w:pPr>
        <w:spacing w:after="120"/>
        <w:rPr>
          <w:bCs/>
          <w:sz w:val="22"/>
          <w:lang w:val="en-US"/>
        </w:rPr>
      </w:pPr>
    </w:p>
    <w:p w:rsidR="0071294B" w:rsidRDefault="003E6526" w:rsidP="0071294B">
      <w:pPr>
        <w:pStyle w:val="1"/>
        <w:numPr>
          <w:ilvl w:val="0"/>
          <w:numId w:val="0"/>
        </w:numPr>
        <w:ind w:left="432" w:hanging="432"/>
      </w:pPr>
      <w:r>
        <w:t>2</w:t>
      </w:r>
      <w:r w:rsidR="0071294B">
        <w:t xml:space="preserve">. </w:t>
      </w:r>
      <w:r>
        <w:t>Discussion</w:t>
      </w:r>
    </w:p>
    <w:p w:rsidR="00F753B0" w:rsidRPr="00185B6F" w:rsidRDefault="00F753B0" w:rsidP="00F753B0">
      <w:pPr>
        <w:pStyle w:val="2"/>
        <w:keepNext/>
        <w:keepLines/>
        <w:numPr>
          <w:ilvl w:val="1"/>
          <w:numId w:val="51"/>
        </w:numPr>
        <w:suppressAutoHyphens w:val="0"/>
        <w:spacing w:before="180" w:after="240"/>
      </w:pPr>
      <w:r>
        <w:t xml:space="preserve">Handling of notes </w:t>
      </w:r>
      <w:r w:rsidRPr="00E07EDC">
        <w:t xml:space="preserve">in </w:t>
      </w:r>
      <w:r>
        <w:t xml:space="preserve">a </w:t>
      </w:r>
      <w:r w:rsidRPr="00E07EDC">
        <w:t>table</w:t>
      </w:r>
    </w:p>
    <w:p w:rsidR="000825B6" w:rsidRDefault="00606B6E" w:rsidP="008D2F31">
      <w:r>
        <w:t>For the improvement of notes usage, in the previous RAN4 meetings</w:t>
      </w:r>
      <w:r w:rsidR="000825B6">
        <w:t xml:space="preserve"> </w:t>
      </w:r>
      <w:r>
        <w:t>some good resolutions have been p</w:t>
      </w:r>
      <w:r w:rsidR="000825B6">
        <w:t>roposed by companies. However, since the notes in tables already exist in the current specs, according to the 3GPP drafting rules, if the notes are removed from the tables, a note number with “void” should still keep in the tables, which leads to the poor readability of the specs.</w:t>
      </w:r>
      <w:r w:rsidR="00D91454">
        <w:t xml:space="preserve"> Furthermore, there are quite a lot external references outside of RAN4, for example in RAN5 test cases the notes in RAN4 are widely used, it will cause problems if large number of RAN4 notes become “void”. </w:t>
      </w:r>
      <w:r w:rsidR="002C744D">
        <w:t>With that, RAN4 decided not to move the existing notes outside the table.</w:t>
      </w:r>
      <w:r w:rsidR="00002233">
        <w:t xml:space="preserve"> Instead, a new rules for drafting notes should be captured in PRD to new notes in future.</w:t>
      </w:r>
    </w:p>
    <w:p w:rsidR="00002233" w:rsidRDefault="00F537D7" w:rsidP="005D54B5">
      <w:pPr>
        <w:spacing w:after="60"/>
        <w:rPr>
          <w:b/>
        </w:rPr>
      </w:pPr>
      <w:r w:rsidRPr="00007DC9">
        <w:rPr>
          <w:rFonts w:hint="eastAsia"/>
          <w:b/>
          <w:u w:val="single"/>
        </w:rPr>
        <w:t>O</w:t>
      </w:r>
      <w:r>
        <w:rPr>
          <w:b/>
          <w:u w:val="single"/>
        </w:rPr>
        <w:t>bservation 1.</w:t>
      </w:r>
      <w:r w:rsidRPr="0068236F">
        <w:rPr>
          <w:b/>
        </w:rPr>
        <w:t xml:space="preserve">  </w:t>
      </w:r>
      <w:r>
        <w:rPr>
          <w:b/>
        </w:rPr>
        <w:t xml:space="preserve">It is observed that </w:t>
      </w:r>
      <w:r w:rsidR="00002233">
        <w:rPr>
          <w:b/>
        </w:rPr>
        <w:t xml:space="preserve">the existing notes in current </w:t>
      </w:r>
      <w:r w:rsidR="00A32543">
        <w:rPr>
          <w:b/>
        </w:rPr>
        <w:t>spec</w:t>
      </w:r>
      <w:r w:rsidR="00002233">
        <w:rPr>
          <w:b/>
        </w:rPr>
        <w:t xml:space="preserve"> should not be moved outside the table due to the issu</w:t>
      </w:r>
      <w:r w:rsidR="006F32C6">
        <w:rPr>
          <w:b/>
        </w:rPr>
        <w:t>es</w:t>
      </w:r>
      <w:r w:rsidR="00002233">
        <w:rPr>
          <w:b/>
        </w:rPr>
        <w:t xml:space="preserve"> of large number of “void” notes and external references to the notes outside of RAN4.</w:t>
      </w:r>
    </w:p>
    <w:p w:rsidR="00F753B0" w:rsidRDefault="00F753B0" w:rsidP="006F32C6">
      <w:pPr>
        <w:spacing w:after="60"/>
        <w:rPr>
          <w:b/>
          <w:u w:val="single"/>
        </w:rPr>
      </w:pPr>
    </w:p>
    <w:p w:rsidR="008B51A5" w:rsidRDefault="008B51A5" w:rsidP="006F32C6">
      <w:pPr>
        <w:spacing w:after="60"/>
        <w:rPr>
          <w:b/>
          <w:i/>
          <w:u w:val="single"/>
        </w:rPr>
      </w:pPr>
    </w:p>
    <w:p w:rsidR="008B51A5" w:rsidRDefault="008B51A5" w:rsidP="006F32C6">
      <w:pPr>
        <w:spacing w:after="60"/>
        <w:rPr>
          <w:b/>
          <w:i/>
          <w:u w:val="single"/>
        </w:rPr>
      </w:pPr>
    </w:p>
    <w:p w:rsidR="00AA6AFB" w:rsidRDefault="00AA6AFB" w:rsidP="006F32C6">
      <w:pPr>
        <w:spacing w:after="60"/>
        <w:rPr>
          <w:b/>
          <w:i/>
          <w:u w:val="single"/>
        </w:rPr>
      </w:pPr>
    </w:p>
    <w:p w:rsidR="008B51A5" w:rsidRDefault="008B51A5" w:rsidP="006F32C6">
      <w:pPr>
        <w:spacing w:after="60"/>
        <w:rPr>
          <w:b/>
          <w:i/>
          <w:u w:val="single"/>
        </w:rPr>
      </w:pPr>
    </w:p>
    <w:p w:rsidR="00F753B0" w:rsidRPr="00F753B0" w:rsidRDefault="00F753B0" w:rsidP="006F32C6">
      <w:pPr>
        <w:spacing w:after="60"/>
        <w:rPr>
          <w:b/>
          <w:i/>
          <w:u w:val="single"/>
        </w:rPr>
      </w:pPr>
      <w:r w:rsidRPr="00F753B0">
        <w:rPr>
          <w:b/>
          <w:i/>
          <w:u w:val="single"/>
        </w:rPr>
        <w:lastRenderedPageBreak/>
        <w:t>Issue of similar notes in a table</w:t>
      </w:r>
    </w:p>
    <w:p w:rsidR="00F753B0" w:rsidRDefault="00F753B0" w:rsidP="006F32C6">
      <w:pPr>
        <w:spacing w:after="60"/>
        <w:rPr>
          <w:b/>
          <w:u w:val="single"/>
        </w:rPr>
      </w:pPr>
    </w:p>
    <w:p w:rsidR="00F753B0" w:rsidRDefault="008B51A5" w:rsidP="00F753B0">
      <w:r>
        <w:rPr>
          <w:noProof/>
          <w:lang w:val="en-US"/>
        </w:rPr>
        <mc:AlternateContent>
          <mc:Choice Requires="wps">
            <w:drawing>
              <wp:anchor distT="45720" distB="45720" distL="114300" distR="114300" simplePos="0" relativeHeight="251660288" behindDoc="0" locked="0" layoutInCell="1" allowOverlap="1">
                <wp:simplePos x="0" y="0"/>
                <wp:positionH relativeFrom="margin">
                  <wp:align>left</wp:align>
                </wp:positionH>
                <wp:positionV relativeFrom="paragraph">
                  <wp:posOffset>364490</wp:posOffset>
                </wp:positionV>
                <wp:extent cx="6002655" cy="946150"/>
                <wp:effectExtent l="0" t="0" r="17145" b="2540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655" cy="946206"/>
                        </a:xfrm>
                        <a:prstGeom prst="rect">
                          <a:avLst/>
                        </a:prstGeom>
                        <a:solidFill>
                          <a:srgbClr val="FFFFFF"/>
                        </a:solidFill>
                        <a:ln w="9525">
                          <a:solidFill>
                            <a:srgbClr val="000000"/>
                          </a:solidFill>
                          <a:miter lim="800000"/>
                          <a:headEnd/>
                          <a:tailEnd/>
                        </a:ln>
                      </wps:spPr>
                      <wps:txbx>
                        <w:txbxContent>
                          <w:p w:rsidR="00976417" w:rsidRPr="00A1115A" w:rsidRDefault="00976417" w:rsidP="008B51A5">
                            <w:pPr>
                              <w:pStyle w:val="TAN"/>
                            </w:pPr>
                            <w:r w:rsidRPr="00A1115A">
                              <w:t>NOTE 1:</w:t>
                            </w:r>
                            <w:r w:rsidRPr="00A1115A">
                              <w:tab/>
                              <w:t>UE that complies with the NR Band n50 minimum requirements in this specification shall also comply with the NR Band n51 minimum requirements.</w:t>
                            </w:r>
                          </w:p>
                          <w:p w:rsidR="00976417" w:rsidRPr="00A1115A" w:rsidRDefault="00976417" w:rsidP="008B51A5">
                            <w:pPr>
                              <w:pStyle w:val="TAN"/>
                            </w:pPr>
                            <w:r w:rsidRPr="00A1115A">
                              <w:t>NOTE 2:</w:t>
                            </w:r>
                            <w:r w:rsidRPr="00A1115A">
                              <w:tab/>
                              <w:t xml:space="preserve">UE that complies with the NR Band n75 minimum requirements in this specification </w:t>
                            </w:r>
                            <w:r>
                              <w:t>s</w:t>
                            </w:r>
                            <w:r w:rsidRPr="00A1115A">
                              <w:t>hall also comply with the NR Band n76 minimum requirements.</w:t>
                            </w:r>
                          </w:p>
                          <w:p w:rsidR="00976417" w:rsidRPr="008B51A5" w:rsidRDefault="00976417" w:rsidP="008B51A5">
                            <w:pPr>
                              <w:pStyle w:val="TAN"/>
                            </w:pPr>
                            <w:r w:rsidRPr="00A1115A">
                              <w:t>NOTE 4:</w:t>
                            </w:r>
                            <w:r w:rsidRPr="00A1115A">
                              <w:tab/>
                              <w:t>A UE that complies with the NR Band n65 minimum requirements in this specification shall also comply with the NR Band n1 minimum requirements.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0;margin-top:28.7pt;width:472.65pt;height:74.5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">
                <v:textbox>
                  <w:txbxContent>
                    <w:p w:rsidR="00976417" w:rsidRPr="00A1115A" w:rsidRDefault="00976417" w:rsidP="008B51A5">
                      <w:pPr>
                        <w:pStyle w:val="TAN"/>
                      </w:pPr>
                      <w:r w:rsidRPr="00A1115A">
                        <w:t>NOTE 1:</w:t>
                      </w:r>
                      <w:r w:rsidRPr="00A1115A">
                        <w:tab/>
                        <w:t>UE that complies with the NR Band n50 minimum requirements in this specification shall also comply with the NR Band n51 minimum requirements.</w:t>
                      </w:r>
                    </w:p>
                    <w:p w:rsidR="00976417" w:rsidRPr="00A1115A" w:rsidRDefault="00976417" w:rsidP="008B51A5">
                      <w:pPr>
                        <w:pStyle w:val="TAN"/>
                      </w:pPr>
                      <w:r w:rsidRPr="00A1115A">
                        <w:t>NOTE 2:</w:t>
                      </w:r>
                      <w:r w:rsidRPr="00A1115A">
                        <w:tab/>
                        <w:t xml:space="preserve">UE that complies with the NR Band n75 minimum requirements in this specification </w:t>
                      </w:r>
                      <w:r>
                        <w:t>s</w:t>
                      </w:r>
                      <w:r w:rsidRPr="00A1115A">
                        <w:t>hall also comply with the NR Band n76 minimum requirements.</w:t>
                      </w:r>
                    </w:p>
                    <w:p w:rsidR="00976417" w:rsidRPr="008B51A5" w:rsidRDefault="00976417" w:rsidP="008B51A5">
                      <w:pPr>
                        <w:pStyle w:val="TAN"/>
                      </w:pPr>
                      <w:r w:rsidRPr="00A1115A">
                        <w:t>NOTE 4:</w:t>
                      </w:r>
                      <w:r w:rsidRPr="00A1115A">
                        <w:tab/>
                        <w:t>A UE that complies with the NR Band n65 minimum requirements in this specification shall also comply with the NR Band n1 minimum requirements.</w:t>
                      </w:r>
                    </w:p>
                  </w:txbxContent>
                </v:textbox>
                <w10:wrap type="square" anchorx="margin"/>
              </v:shape>
            </w:pict>
          </mc:Fallback>
        </mc:AlternateContent>
      </w:r>
      <w:r w:rsidR="00F753B0" w:rsidRPr="00F753B0">
        <w:rPr>
          <w:rFonts w:hint="eastAsia"/>
        </w:rPr>
        <w:t>I</w:t>
      </w:r>
      <w:r w:rsidR="00F753B0" w:rsidRPr="00F753B0">
        <w:t>n</w:t>
      </w:r>
      <w:r w:rsidR="00F753B0">
        <w:t xml:space="preserve"> [2], an issue of similar notes in a table has been raised to capture the similar notes to the main body of specification. An example used for illustration is that in TS 38.101-1 Table 5.2-1, the following notes are similar.</w:t>
      </w:r>
    </w:p>
    <w:p w:rsidR="00F753B0" w:rsidRDefault="008B51A5" w:rsidP="00F753B0">
      <w:r>
        <w:rPr>
          <w:noProof/>
          <w:lang w:val="en-US"/>
        </w:rPr>
        <mc:AlternateContent>
          <mc:Choice Requires="wps">
            <w:drawing>
              <wp:anchor distT="45720" distB="45720" distL="114300" distR="114300" simplePos="0" relativeHeight="251662336" behindDoc="0" locked="0" layoutInCell="1" allowOverlap="1" wp14:anchorId="64357257" wp14:editId="71705143">
                <wp:simplePos x="0" y="0"/>
                <wp:positionH relativeFrom="margin">
                  <wp:align>left</wp:align>
                </wp:positionH>
                <wp:positionV relativeFrom="paragraph">
                  <wp:posOffset>1564833</wp:posOffset>
                </wp:positionV>
                <wp:extent cx="6002655" cy="397510"/>
                <wp:effectExtent l="0" t="0" r="17145" b="2159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655" cy="397510"/>
                        </a:xfrm>
                        <a:prstGeom prst="rect">
                          <a:avLst/>
                        </a:prstGeom>
                        <a:solidFill>
                          <a:srgbClr val="FFFFFF"/>
                        </a:solidFill>
                        <a:ln w="9525">
                          <a:solidFill>
                            <a:srgbClr val="000000"/>
                          </a:solidFill>
                          <a:miter lim="800000"/>
                          <a:headEnd/>
                          <a:tailEnd/>
                        </a:ln>
                      </wps:spPr>
                      <wps:txbx>
                        <w:txbxContent>
                          <w:p w:rsidR="00976417" w:rsidRPr="008B51A5" w:rsidRDefault="00976417" w:rsidP="008B51A5">
                            <w:pPr>
                              <w:pStyle w:val="TAN"/>
                            </w:pPr>
                            <w:r w:rsidRPr="00A1115A">
                              <w:t xml:space="preserve">NOTE </w:t>
                            </w:r>
                            <w:r w:rsidRPr="008B51A5">
                              <w:rPr>
                                <w:highlight w:val="yellow"/>
                              </w:rPr>
                              <w:t>x</w:t>
                            </w:r>
                            <w:r w:rsidRPr="00A1115A">
                              <w:t>:</w:t>
                            </w:r>
                            <w:r w:rsidRPr="00A1115A">
                              <w:tab/>
                              <w:t>UE that complies with the NR Band n50</w:t>
                            </w:r>
                            <w:r w:rsidRPr="008B51A5">
                              <w:rPr>
                                <w:highlight w:val="yellow"/>
                              </w:rPr>
                              <w:t>/n75/n65</w:t>
                            </w:r>
                            <w:r w:rsidRPr="00A1115A">
                              <w:t xml:space="preserve"> minimum requirements in this specification shall also comply with the NR Band n51</w:t>
                            </w:r>
                            <w:r w:rsidRPr="008B51A5">
                              <w:rPr>
                                <w:highlight w:val="yellow"/>
                              </w:rPr>
                              <w:t>/n76/n1</w:t>
                            </w:r>
                            <w:r w:rsidRPr="00A1115A">
                              <w:t xml:space="preserve"> minimum requirements</w:t>
                            </w:r>
                            <w:r w:rsidRPr="008B51A5">
                              <w:rPr>
                                <w:highlight w:val="yellow"/>
                              </w:rPr>
                              <w:t>, respectively</w:t>
                            </w:r>
                            <w:r w:rsidRPr="00A1115A">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357257" id="_x0000_s1028" type="#_x0000_t202" style="position:absolute;margin-left:0;margin-top:123.2pt;width:472.65pt;height:31.3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">
                <v:textbox>
                  <w:txbxContent>
                    <w:p w:rsidR="00976417" w:rsidRPr="008B51A5" w:rsidRDefault="00976417" w:rsidP="008B51A5">
                      <w:pPr>
                        <w:pStyle w:val="TAN"/>
                      </w:pPr>
                      <w:r w:rsidRPr="00A1115A">
                        <w:t xml:space="preserve">NOTE </w:t>
                      </w:r>
                      <w:r w:rsidRPr="008B51A5">
                        <w:rPr>
                          <w:highlight w:val="yellow"/>
                        </w:rPr>
                        <w:t>x</w:t>
                      </w:r>
                      <w:r w:rsidRPr="00A1115A">
                        <w:t>:</w:t>
                      </w:r>
                      <w:r w:rsidRPr="00A1115A">
                        <w:tab/>
                        <w:t>UE that complies with the NR Band n50</w:t>
                      </w:r>
                      <w:r w:rsidRPr="008B51A5">
                        <w:rPr>
                          <w:highlight w:val="yellow"/>
                        </w:rPr>
                        <w:t>/n75/n65</w:t>
                      </w:r>
                      <w:r w:rsidRPr="00A1115A">
                        <w:t xml:space="preserve"> minimum requirements in this specification shall also comply with the NR Band n51</w:t>
                      </w:r>
                      <w:r w:rsidRPr="008B51A5">
                        <w:rPr>
                          <w:highlight w:val="yellow"/>
                        </w:rPr>
                        <w:t>/n76/n1</w:t>
                      </w:r>
                      <w:r w:rsidRPr="00A1115A">
                        <w:t xml:space="preserve"> minimum requirements</w:t>
                      </w:r>
                      <w:r w:rsidRPr="008B51A5">
                        <w:rPr>
                          <w:highlight w:val="yellow"/>
                        </w:rPr>
                        <w:t>, respectively</w:t>
                      </w:r>
                      <w:r w:rsidRPr="00A1115A">
                        <w:t>.</w:t>
                      </w:r>
                    </w:p>
                  </w:txbxContent>
                </v:textbox>
                <w10:wrap type="square" anchorx="margin"/>
              </v:shape>
            </w:pict>
          </mc:Fallback>
        </mc:AlternateContent>
      </w:r>
      <w:r>
        <w:rPr>
          <w:rFonts w:hint="eastAsia"/>
        </w:rPr>
        <w:t>I</w:t>
      </w:r>
      <w:r>
        <w:t xml:space="preserve">f in future, a new note similar to the above notes is to be introduced, </w:t>
      </w:r>
      <w:r w:rsidR="000E34B5">
        <w:t xml:space="preserve">the proponent should first review all the existing notes to check if there is a similar note, if yes then </w:t>
      </w:r>
      <w:r>
        <w:t xml:space="preserve">a more generic description should be made for notes, instead of duplicating similar wording in the table. For example, a generic note </w:t>
      </w:r>
      <w:r w:rsidR="000E34B5">
        <w:t xml:space="preserve">in this case </w:t>
      </w:r>
      <w:r>
        <w:t xml:space="preserve">could be </w:t>
      </w:r>
      <w:r w:rsidR="000E34B5">
        <w:t xml:space="preserve">revised </w:t>
      </w:r>
      <w:r>
        <w:t>as below.</w:t>
      </w:r>
    </w:p>
    <w:p w:rsidR="008B51A5" w:rsidRDefault="008B51A5" w:rsidP="00F753B0"/>
    <w:p w:rsidR="0075251D" w:rsidRDefault="0075251D" w:rsidP="0075251D">
      <w:pPr>
        <w:spacing w:after="60"/>
        <w:rPr>
          <w:b/>
        </w:rPr>
      </w:pPr>
      <w:r w:rsidRPr="00007DC9">
        <w:rPr>
          <w:rFonts w:hint="eastAsia"/>
          <w:b/>
          <w:u w:val="single"/>
        </w:rPr>
        <w:t>O</w:t>
      </w:r>
      <w:r>
        <w:rPr>
          <w:b/>
          <w:u w:val="single"/>
        </w:rPr>
        <w:t>bservation 2.</w:t>
      </w:r>
      <w:r w:rsidRPr="0068236F">
        <w:rPr>
          <w:b/>
        </w:rPr>
        <w:t xml:space="preserve">  </w:t>
      </w:r>
      <w:r>
        <w:rPr>
          <w:b/>
        </w:rPr>
        <w:t xml:space="preserve">In future, if similar notes are to be introduced into a table, a more generic note should be </w:t>
      </w:r>
      <w:r w:rsidR="008240D2">
        <w:rPr>
          <w:b/>
        </w:rPr>
        <w:t>adapt</w:t>
      </w:r>
      <w:r w:rsidR="004C5224">
        <w:rPr>
          <w:b/>
        </w:rPr>
        <w:t>ed</w:t>
      </w:r>
      <w:r w:rsidR="008240D2">
        <w:rPr>
          <w:b/>
        </w:rPr>
        <w:t xml:space="preserve"> to</w:t>
      </w:r>
      <w:r>
        <w:rPr>
          <w:b/>
        </w:rPr>
        <w:t xml:space="preserve"> all the similar notes.</w:t>
      </w:r>
    </w:p>
    <w:p w:rsidR="0075251D" w:rsidRPr="0075251D" w:rsidRDefault="0075251D" w:rsidP="00F753B0"/>
    <w:p w:rsidR="001070D3" w:rsidRPr="00F753B0" w:rsidRDefault="001070D3" w:rsidP="001070D3">
      <w:pPr>
        <w:spacing w:after="60"/>
        <w:rPr>
          <w:b/>
          <w:i/>
          <w:u w:val="single"/>
        </w:rPr>
      </w:pPr>
      <w:r w:rsidRPr="00F753B0">
        <w:rPr>
          <w:b/>
          <w:i/>
          <w:u w:val="single"/>
        </w:rPr>
        <w:t xml:space="preserve">Issue of </w:t>
      </w:r>
      <w:r w:rsidR="00DF726C">
        <w:rPr>
          <w:b/>
          <w:i/>
          <w:u w:val="single"/>
        </w:rPr>
        <w:t>overlapping with symbols and abbreviations</w:t>
      </w:r>
    </w:p>
    <w:p w:rsidR="001070D3" w:rsidRDefault="001070D3" w:rsidP="001070D3">
      <w:pPr>
        <w:spacing w:after="60"/>
        <w:rPr>
          <w:b/>
          <w:u w:val="single"/>
        </w:rPr>
      </w:pPr>
    </w:p>
    <w:p w:rsidR="00F753B0" w:rsidRDefault="00DF726C" w:rsidP="00DF726C">
      <w:r>
        <w:rPr>
          <w:noProof/>
          <w:lang w:val="en-US"/>
        </w:rPr>
        <mc:AlternateContent>
          <mc:Choice Requires="wps">
            <w:drawing>
              <wp:anchor distT="45720" distB="45720" distL="114300" distR="114300" simplePos="0" relativeHeight="251664384" behindDoc="0" locked="0" layoutInCell="1" allowOverlap="1">
                <wp:simplePos x="0" y="0"/>
                <wp:positionH relativeFrom="margin">
                  <wp:align>left</wp:align>
                </wp:positionH>
                <wp:positionV relativeFrom="paragraph">
                  <wp:posOffset>758190</wp:posOffset>
                </wp:positionV>
                <wp:extent cx="6002020" cy="1590040"/>
                <wp:effectExtent l="0" t="0" r="17780" b="1016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020" cy="1590040"/>
                        </a:xfrm>
                        <a:prstGeom prst="rect">
                          <a:avLst/>
                        </a:prstGeom>
                        <a:solidFill>
                          <a:srgbClr val="FFFFFF"/>
                        </a:solidFill>
                        <a:ln w="9525">
                          <a:solidFill>
                            <a:srgbClr val="000000"/>
                          </a:solidFill>
                          <a:miter lim="800000"/>
                          <a:headEnd/>
                          <a:tailEnd/>
                        </a:ln>
                      </wps:spPr>
                      <wps:txbx>
                        <w:txbxContent>
                          <w:p w:rsidR="00976417" w:rsidRPr="00A1115A" w:rsidRDefault="00976417" w:rsidP="006831DA">
                            <w:pPr>
                              <w:pStyle w:val="TAN"/>
                            </w:pPr>
                            <w:r w:rsidRPr="00A1115A">
                              <w:t>NOTE 6:</w:t>
                            </w:r>
                            <w:r w:rsidRPr="00A1115A">
                              <w:tab/>
                            </w:r>
                            <w:r w:rsidRPr="00A1115A">
                              <w:rPr>
                                <w:i/>
                              </w:rPr>
                              <w:t>L</w:t>
                            </w:r>
                            <w:r w:rsidRPr="00A1115A">
                              <w:rPr>
                                <w:i/>
                                <w:vertAlign w:val="subscript"/>
                              </w:rPr>
                              <w:t xml:space="preserve">CRB </w:t>
                            </w:r>
                            <w:r w:rsidRPr="00A1115A">
                              <w:t xml:space="preserve">is the Transmission Bandwidth (see </w:t>
                            </w:r>
                            <w:proofErr w:type="gramStart"/>
                            <w:r w:rsidRPr="00A1115A">
                              <w:t>clause  5.3</w:t>
                            </w:r>
                            <w:proofErr w:type="gramEnd"/>
                            <w:r w:rsidRPr="00A1115A">
                              <w:t>).</w:t>
                            </w:r>
                          </w:p>
                          <w:p w:rsidR="00976417" w:rsidRPr="00A1115A" w:rsidRDefault="00976417" w:rsidP="006831DA">
                            <w:pPr>
                              <w:pStyle w:val="TAN"/>
                            </w:pPr>
                            <w:r w:rsidRPr="00A1115A">
                              <w:t>NOTE 7:</w:t>
                            </w:r>
                            <w:r w:rsidRPr="00A1115A">
                              <w:tab/>
                            </w:r>
                            <w:r w:rsidRPr="00A1115A">
                              <w:rPr>
                                <w:i/>
                              </w:rPr>
                              <w:t>N</w:t>
                            </w:r>
                            <w:r w:rsidRPr="00A1115A">
                              <w:rPr>
                                <w:i/>
                                <w:vertAlign w:val="subscript"/>
                              </w:rPr>
                              <w:t>RB</w:t>
                            </w:r>
                            <w:r w:rsidRPr="00A1115A">
                              <w:t xml:space="preserve"> is the Transmission Bandwidth Configuration (see clause 5.3).</w:t>
                            </w:r>
                          </w:p>
                          <w:p w:rsidR="00976417" w:rsidRPr="00A1115A" w:rsidRDefault="00976417" w:rsidP="006831DA">
                            <w:pPr>
                              <w:pStyle w:val="TAN"/>
                            </w:pPr>
                            <w:r w:rsidRPr="00A1115A">
                              <w:t>NOTE 8:</w:t>
                            </w:r>
                            <w:r w:rsidRPr="00A1115A">
                              <w:tab/>
                            </w:r>
                            <w:r w:rsidRPr="00A1115A">
                              <w:rPr>
                                <w:i/>
                              </w:rPr>
                              <w:t>EVM</w:t>
                            </w:r>
                            <w:r w:rsidRPr="00A1115A">
                              <w:t xml:space="preserve"> is the limit specified in Table 6.4.2.1-1 for the modulation format used in the allocated RBs.</w:t>
                            </w:r>
                          </w:p>
                          <w:p w:rsidR="00976417" w:rsidRPr="00A1115A" w:rsidRDefault="00976417" w:rsidP="006831DA">
                            <w:pPr>
                              <w:pStyle w:val="TAN"/>
                            </w:pPr>
                            <w:r w:rsidRPr="00A1115A">
                              <w:t>NOTE 9:</w:t>
                            </w:r>
                            <w:r w:rsidRPr="00A1115A">
                              <w:tab/>
                            </w:r>
                            <w:r w:rsidRPr="00A1115A">
                              <w:rPr>
                                <w:position w:val="-10"/>
                              </w:rPr>
                              <w:object w:dxaOrig="400" w:dyaOrig="300">
                                <v:shape id="_x0000_i1025" type="#_x0000_t75" style="width:22pt;height:16.5pt" o:ole="">
                                  <v:imagedata r:id="rId8" o:title=""/>
                                </v:shape>
                                <o:OLEObject Type="Embed" ProgID="Equation.3" ShapeID="_x0000_i1025" DrawAspect="Content" ObjectID="_1792627319" r:id="rId9"/>
                              </w:object>
                            </w:r>
                            <w:r w:rsidRPr="00A1115A">
                              <w:t xml:space="preserve"> is the starting frequency offset between the allocated RB and the measured non-allocated RB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-1 for the first adjacent RB outside of the allocated bandwidth.</w:t>
                            </w:r>
                          </w:p>
                          <w:p w:rsidR="00976417" w:rsidRPr="00A1115A" w:rsidRDefault="00976417" w:rsidP="006831DA">
                            <w:pPr>
                              <w:pStyle w:val="TAN"/>
                            </w:pPr>
                            <w:r w:rsidRPr="00A1115A">
                              <w:t>NOTE 10:</w:t>
                            </w:r>
                            <w:r w:rsidRPr="00A1115A">
                              <w:tab/>
                            </w:r>
                            <w:r w:rsidRPr="00A1115A">
                              <w:rPr>
                                <w:position w:val="-10"/>
                              </w:rPr>
                              <w:object w:dxaOrig="400" w:dyaOrig="380">
                                <v:shape id="_x0000_i1026" type="#_x0000_t75" style="width:22pt;height:22pt" o:ole="">
                                  <v:imagedata r:id="rId10" o:title=""/>
                                </v:shape>
                                <o:OLEObject Type="Embed" ProgID="Equation.3" ShapeID="_x0000_i1026" DrawAspect="Content" ObjectID="_1792627320" r:id="rId11"/>
                              </w:object>
                            </w:r>
                            <w:r w:rsidRPr="00A1115A">
                              <w:t xml:space="preserve"> is an average of the transmitted power over 10 sub-frames normalized by the number of allocated RBs</w:t>
                            </w:r>
                            <w:r>
                              <w:t xml:space="preserve">, measured in </w:t>
                            </w:r>
                            <w:proofErr w:type="spellStart"/>
                            <w:r>
                              <w:t>dBm</w:t>
                            </w:r>
                            <w:proofErr w:type="spellEnd"/>
                            <w:r>
                              <w:t>.</w:t>
                            </w:r>
                          </w:p>
                          <w:p w:rsidR="00976417" w:rsidRDefault="00976417" w:rsidP="006831DA">
                            <w:r w:rsidRPr="00A1115A">
                              <w:t>NOTE 11:</w:t>
                            </w:r>
                            <w:r w:rsidRPr="00A1115A">
                              <w:tab/>
                              <w:t xml:space="preserve">For almost contiguous allocations defined in clause 6.2.2, </w:t>
                            </w:r>
                            <w:r w:rsidRPr="00A1115A">
                              <w:rPr>
                                <w:i/>
                              </w:rPr>
                              <w:t>L</w:t>
                            </w:r>
                            <w:r w:rsidRPr="00A1115A">
                              <w:rPr>
                                <w:i/>
                                <w:vertAlign w:val="subscript"/>
                              </w:rPr>
                              <w:t xml:space="preserve">CRB </w:t>
                            </w:r>
                            <w:r w:rsidRPr="00A1115A">
                              <w:t xml:space="preserve">= </w:t>
                            </w:r>
                            <w:proofErr w:type="spellStart"/>
                            <w:r w:rsidRPr="00A1115A">
                              <w:t>N</w:t>
                            </w:r>
                            <w:r w:rsidRPr="00A1115A">
                              <w:rPr>
                                <w:vertAlign w:val="subscript"/>
                              </w:rPr>
                              <w:t>RB_alloc</w:t>
                            </w:r>
                            <w:proofErr w:type="spellEnd"/>
                            <w:r w:rsidRPr="00A1115A">
                              <w:rPr>
                                <w:vertAlign w:val="subscript"/>
                              </w:rPr>
                              <w:t xml:space="preserve"> </w:t>
                            </w:r>
                            <w:r w:rsidRPr="00A1115A">
                              <w:t xml:space="preserve">+ </w:t>
                            </w:r>
                            <w:proofErr w:type="spellStart"/>
                            <w:r w:rsidRPr="00A1115A">
                              <w:t>N</w:t>
                            </w:r>
                            <w:r w:rsidRPr="00A1115A">
                              <w:rPr>
                                <w:vertAlign w:val="subscript"/>
                              </w:rPr>
                              <w:t>RB_gap</w:t>
                            </w:r>
                            <w:proofErr w:type="spellEnd"/>
                            <w:r w:rsidRPr="00A1115A">
                              <w:rPr>
                                <w:vertAlign w:val="subscript"/>
                              </w:rPr>
                              <w:t xml:space="preserve"> </w:t>
                            </w:r>
                            <w:r w:rsidRPr="00A1115A">
                              <w:t>with no in-gap emission requirement.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0;margin-top:59.7pt;width:472.6pt;height:125.2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">
                <v:textbox>
                  <w:txbxContent>
                    <w:p w:rsidR="00976417" w:rsidRPr="00A1115A" w:rsidRDefault="00976417" w:rsidP="006831DA">
                      <w:pPr>
                        <w:pStyle w:val="TAN"/>
                      </w:pPr>
                      <w:r w:rsidRPr="00A1115A">
                        <w:t>NOTE 6:</w:t>
                      </w:r>
                      <w:r w:rsidRPr="00A1115A">
                        <w:tab/>
                      </w:r>
                      <w:r w:rsidRPr="00A1115A">
                        <w:rPr>
                          <w:i/>
                        </w:rPr>
                        <w:t>L</w:t>
                      </w:r>
                      <w:r w:rsidRPr="00A1115A">
                        <w:rPr>
                          <w:i/>
                          <w:vertAlign w:val="subscript"/>
                        </w:rPr>
                        <w:t xml:space="preserve">CRB </w:t>
                      </w:r>
                      <w:r w:rsidRPr="00A1115A">
                        <w:t xml:space="preserve">is the Transmission Bandwidth (see </w:t>
                      </w:r>
                      <w:proofErr w:type="gramStart"/>
                      <w:r w:rsidRPr="00A1115A">
                        <w:t>clause  5.3</w:t>
                      </w:r>
                      <w:proofErr w:type="gramEnd"/>
                      <w:r w:rsidRPr="00A1115A">
                        <w:t>).</w:t>
                      </w:r>
                    </w:p>
                    <w:p w:rsidR="00976417" w:rsidRPr="00A1115A" w:rsidRDefault="00976417" w:rsidP="006831DA">
                      <w:pPr>
                        <w:pStyle w:val="TAN"/>
                      </w:pPr>
                      <w:r w:rsidRPr="00A1115A">
                        <w:t>NOTE 7:</w:t>
                      </w:r>
                      <w:r w:rsidRPr="00A1115A">
                        <w:tab/>
                      </w:r>
                      <w:r w:rsidRPr="00A1115A">
                        <w:rPr>
                          <w:i/>
                        </w:rPr>
                        <w:t>N</w:t>
                      </w:r>
                      <w:r w:rsidRPr="00A1115A">
                        <w:rPr>
                          <w:i/>
                          <w:vertAlign w:val="subscript"/>
                        </w:rPr>
                        <w:t>RB</w:t>
                      </w:r>
                      <w:r w:rsidRPr="00A1115A">
                        <w:t xml:space="preserve"> is the Transmission Bandwidth Configuration (see clause 5.3).</w:t>
                      </w:r>
                    </w:p>
                    <w:p w:rsidR="00976417" w:rsidRPr="00A1115A" w:rsidRDefault="00976417" w:rsidP="006831DA">
                      <w:pPr>
                        <w:pStyle w:val="TAN"/>
                      </w:pPr>
                      <w:r w:rsidRPr="00A1115A">
                        <w:t>NOTE 8:</w:t>
                      </w:r>
                      <w:r w:rsidRPr="00A1115A">
                        <w:tab/>
                      </w:r>
                      <w:r w:rsidRPr="00A1115A">
                        <w:rPr>
                          <w:i/>
                        </w:rPr>
                        <w:t>EVM</w:t>
                      </w:r>
                      <w:r w:rsidRPr="00A1115A">
                        <w:t xml:space="preserve"> is the limit specified in Table 6.4.2.1-1 for the modulation format used in the allocated RBs.</w:t>
                      </w:r>
                    </w:p>
                    <w:p w:rsidR="00976417" w:rsidRPr="00A1115A" w:rsidRDefault="00976417" w:rsidP="006831DA">
                      <w:pPr>
                        <w:pStyle w:val="TAN"/>
                      </w:pPr>
                      <w:r w:rsidRPr="00A1115A">
                        <w:t>NOTE 9:</w:t>
                      </w:r>
                      <w:r w:rsidRPr="00A1115A">
                        <w:tab/>
                      </w:r>
                      <w:r w:rsidRPr="00A1115A">
                        <w:rPr>
                          <w:position w:val="-10"/>
                        </w:rPr>
                        <w:object w:dxaOrig="400" w:dyaOrig="300">
                          <v:shape id="_x0000_i1025" type="#_x0000_t75" style="width:22pt;height:16.5pt" o:ole="">
                            <v:imagedata r:id="rId12" o:title=""/>
                          </v:shape>
                          <o:OLEObject Type="Embed" ProgID="Equation.3" ShapeID="_x0000_i1025" DrawAspect="Content" ObjectID="_1792614630" r:id="rId13"/>
                        </w:object>
                      </w:r>
                      <w:r w:rsidRPr="00A1115A">
                        <w:t xml:space="preserve"> is the starting frequency offset between the allocated RB and the measured non-allocated RB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-1 for the first adjacent RB outside of the allocated bandwidth.</w:t>
                      </w:r>
                    </w:p>
                    <w:p w:rsidR="00976417" w:rsidRPr="00A1115A" w:rsidRDefault="00976417" w:rsidP="006831DA">
                      <w:pPr>
                        <w:pStyle w:val="TAN"/>
                      </w:pPr>
                      <w:r w:rsidRPr="00A1115A">
                        <w:t>NOTE 10:</w:t>
                      </w:r>
                      <w:r w:rsidRPr="00A1115A">
                        <w:tab/>
                      </w:r>
                      <w:r w:rsidRPr="00A1115A">
                        <w:rPr>
                          <w:position w:val="-10"/>
                        </w:rPr>
                        <w:object w:dxaOrig="400" w:dyaOrig="380">
                          <v:shape id="_x0000_i1026" type="#_x0000_t75" style="width:22pt;height:22pt" o:ole="">
                            <v:imagedata r:id="rId14" o:title=""/>
                          </v:shape>
                          <o:OLEObject Type="Embed" ProgID="Equation.3" ShapeID="_x0000_i1026" DrawAspect="Content" ObjectID="_1792614631" r:id="rId15"/>
                        </w:object>
                      </w:r>
                      <w:r w:rsidRPr="00A1115A">
                        <w:t xml:space="preserve"> is an average of the transmitted power over 10 sub-frames normalized by the number of allocated RBs</w:t>
                      </w:r>
                      <w:r>
                        <w:t xml:space="preserve">, measured in </w:t>
                      </w:r>
                      <w:proofErr w:type="spellStart"/>
                      <w:r>
                        <w:t>dBm</w:t>
                      </w:r>
                      <w:proofErr w:type="spellEnd"/>
                      <w:r>
                        <w:t>.</w:t>
                      </w:r>
                    </w:p>
                    <w:p w:rsidR="00976417" w:rsidRDefault="00976417" w:rsidP="006831DA">
                      <w:r w:rsidRPr="00A1115A">
                        <w:t>NOTE 11:</w:t>
                      </w:r>
                      <w:r w:rsidRPr="00A1115A">
                        <w:tab/>
                        <w:t xml:space="preserve">For almost contiguous allocations defined in clause 6.2.2, </w:t>
                      </w:r>
                      <w:r w:rsidRPr="00A1115A">
                        <w:rPr>
                          <w:i/>
                        </w:rPr>
                        <w:t>L</w:t>
                      </w:r>
                      <w:r w:rsidRPr="00A1115A">
                        <w:rPr>
                          <w:i/>
                          <w:vertAlign w:val="subscript"/>
                        </w:rPr>
                        <w:t xml:space="preserve">CRB </w:t>
                      </w:r>
                      <w:r w:rsidRPr="00A1115A">
                        <w:t xml:space="preserve">= </w:t>
                      </w:r>
                      <w:proofErr w:type="spellStart"/>
                      <w:r w:rsidRPr="00A1115A">
                        <w:t>N</w:t>
                      </w:r>
                      <w:r w:rsidRPr="00A1115A">
                        <w:rPr>
                          <w:vertAlign w:val="subscript"/>
                        </w:rPr>
                        <w:t>RB_alloc</w:t>
                      </w:r>
                      <w:proofErr w:type="spellEnd"/>
                      <w:r w:rsidRPr="00A1115A">
                        <w:rPr>
                          <w:vertAlign w:val="subscript"/>
                        </w:rPr>
                        <w:t xml:space="preserve"> </w:t>
                      </w:r>
                      <w:r w:rsidRPr="00A1115A">
                        <w:t xml:space="preserve">+ </w:t>
                      </w:r>
                      <w:proofErr w:type="spellStart"/>
                      <w:r w:rsidRPr="00A1115A">
                        <w:t>N</w:t>
                      </w:r>
                      <w:r w:rsidRPr="00A1115A">
                        <w:rPr>
                          <w:vertAlign w:val="subscript"/>
                        </w:rPr>
                        <w:t>RB_gap</w:t>
                      </w:r>
                      <w:proofErr w:type="spellEnd"/>
                      <w:r w:rsidRPr="00A1115A">
                        <w:rPr>
                          <w:vertAlign w:val="subscript"/>
                        </w:rPr>
                        <w:t xml:space="preserve"> </w:t>
                      </w:r>
                      <w:r w:rsidRPr="00A1115A">
                        <w:t>with no in-gap emission requirement.</w:t>
                      </w:r>
                    </w:p>
                  </w:txbxContent>
                </v:textbox>
                <w10:wrap type="square" anchorx="margin"/>
              </v:shape>
            </w:pict>
          </mc:Fallback>
        </mc:AlternateContent>
      </w:r>
      <w:r w:rsidRPr="00DF726C">
        <w:rPr>
          <w:rFonts w:hint="eastAsia"/>
        </w:rPr>
        <w:t>I</w:t>
      </w:r>
      <w:r w:rsidRPr="00DF726C">
        <w:t>n [2]</w:t>
      </w:r>
      <w:r>
        <w:t xml:space="preserve">, an issue of notes overlapping with symbols and abbreviations was proposed. For example, in </w:t>
      </w:r>
      <w:r w:rsidRPr="00A1115A">
        <w:t>Table</w:t>
      </w:r>
      <w:r w:rsidR="000B712D">
        <w:t xml:space="preserve"> 6.4.2.3-1 </w:t>
      </w:r>
      <w:r w:rsidR="005B3D47">
        <w:t xml:space="preserve">of TS 38.101-1 </w:t>
      </w:r>
      <w:r w:rsidR="00297C3B">
        <w:t>there are r</w:t>
      </w:r>
      <w:r w:rsidRPr="00A1115A">
        <w:t>equirements for in-band emissions</w:t>
      </w:r>
      <w:r w:rsidR="00297C3B">
        <w:t xml:space="preserve"> with notes as below</w:t>
      </w:r>
      <w:r>
        <w:t>.</w:t>
      </w:r>
      <w:r w:rsidR="000B712D">
        <w:t xml:space="preserve"> In this case, NOTE 6, 7 and 9</w:t>
      </w:r>
      <w:r w:rsidR="000B712D" w:rsidRPr="000B712D">
        <w:t xml:space="preserve"> </w:t>
      </w:r>
      <w:r w:rsidR="000B712D">
        <w:t>for L</w:t>
      </w:r>
      <w:r w:rsidR="000B712D" w:rsidRPr="000B712D">
        <w:rPr>
          <w:vertAlign w:val="subscript"/>
        </w:rPr>
        <w:t>CRB</w:t>
      </w:r>
      <w:r w:rsidR="000B712D">
        <w:t>, N</w:t>
      </w:r>
      <w:r w:rsidR="000B712D" w:rsidRPr="000B712D">
        <w:rPr>
          <w:vertAlign w:val="subscript"/>
        </w:rPr>
        <w:t>RB</w:t>
      </w:r>
      <w:r w:rsidR="000B712D">
        <w:t xml:space="preserve"> or </w:t>
      </w:r>
      <w:r w:rsidR="000B712D">
        <w:rPr>
          <w:rFonts w:ascii="微软雅黑" w:eastAsia="微软雅黑" w:hAnsi="微软雅黑" w:hint="eastAsia"/>
        </w:rPr>
        <w:t>∆</w:t>
      </w:r>
      <w:r w:rsidR="000B712D" w:rsidRPr="000B712D">
        <w:rPr>
          <w:rFonts w:hint="eastAsia"/>
          <w:vertAlign w:val="subscript"/>
        </w:rPr>
        <w:t>R</w:t>
      </w:r>
      <w:r w:rsidR="000B712D" w:rsidRPr="000B712D">
        <w:rPr>
          <w:vertAlign w:val="subscript"/>
        </w:rPr>
        <w:t>B</w:t>
      </w:r>
      <w:r w:rsidR="000B712D">
        <w:t xml:space="preserve"> </w:t>
      </w:r>
      <w:r w:rsidR="005B3D47">
        <w:t>have already been</w:t>
      </w:r>
      <w:r w:rsidR="000B712D">
        <w:t xml:space="preserve"> defined in clause 3.2 for symbols. It seems there is no need to introduce such notes in table anymore.</w:t>
      </w:r>
    </w:p>
    <w:p w:rsidR="005B3D47" w:rsidRDefault="000B712D" w:rsidP="006F32C6">
      <w:pPr>
        <w:spacing w:after="60"/>
      </w:pPr>
      <w:r>
        <w:t xml:space="preserve">With that, </w:t>
      </w:r>
      <w:r w:rsidR="00AA6AFB">
        <w:t>we suggest the following</w:t>
      </w:r>
      <w:r w:rsidR="005B3D47">
        <w:t xml:space="preserve"> rule for note in future.</w:t>
      </w:r>
    </w:p>
    <w:p w:rsidR="003A27F2" w:rsidRDefault="005B3D47" w:rsidP="006F32C6">
      <w:pPr>
        <w:spacing w:after="60"/>
      </w:pPr>
      <w:r>
        <w:t xml:space="preserve">If </w:t>
      </w:r>
      <w:r w:rsidR="003A27F2">
        <w:t xml:space="preserve">a new note is to be introduced into a table, proponent should first check the symbols and abbreviations in clause 3, </w:t>
      </w:r>
      <w:r>
        <w:t>the redundant notes should be avoided.</w:t>
      </w:r>
    </w:p>
    <w:p w:rsidR="003A27F2" w:rsidRDefault="003A27F2" w:rsidP="006F32C6">
      <w:pPr>
        <w:spacing w:after="60"/>
      </w:pPr>
    </w:p>
    <w:p w:rsidR="0075251D" w:rsidRDefault="0075251D" w:rsidP="0075251D">
      <w:pPr>
        <w:spacing w:after="60"/>
        <w:rPr>
          <w:b/>
        </w:rPr>
      </w:pPr>
      <w:r w:rsidRPr="00007DC9">
        <w:rPr>
          <w:rFonts w:hint="eastAsia"/>
          <w:b/>
          <w:u w:val="single"/>
        </w:rPr>
        <w:t>O</w:t>
      </w:r>
      <w:r w:rsidR="008240D2">
        <w:rPr>
          <w:b/>
          <w:u w:val="single"/>
        </w:rPr>
        <w:t>bservation 3</w:t>
      </w:r>
      <w:r>
        <w:rPr>
          <w:b/>
          <w:u w:val="single"/>
        </w:rPr>
        <w:t>.</w:t>
      </w:r>
      <w:r w:rsidRPr="0068236F">
        <w:rPr>
          <w:b/>
        </w:rPr>
        <w:t xml:space="preserve">  </w:t>
      </w:r>
      <w:r w:rsidR="008240D2">
        <w:rPr>
          <w:b/>
        </w:rPr>
        <w:t>If a new note is relevant to a symbol or an abbreviation, an overview of clause 3</w:t>
      </w:r>
      <w:r w:rsidR="00AD503A">
        <w:rPr>
          <w:b/>
        </w:rPr>
        <w:t xml:space="preserve"> should be made to avoid redundant.</w:t>
      </w:r>
    </w:p>
    <w:p w:rsidR="003A27F2" w:rsidRPr="0075251D" w:rsidRDefault="003A27F2" w:rsidP="006F32C6">
      <w:pPr>
        <w:spacing w:after="60"/>
      </w:pPr>
    </w:p>
    <w:p w:rsidR="00AD503A" w:rsidRPr="00F753B0" w:rsidRDefault="00AD503A" w:rsidP="00AD503A">
      <w:pPr>
        <w:spacing w:after="60"/>
        <w:rPr>
          <w:b/>
          <w:i/>
          <w:u w:val="single"/>
        </w:rPr>
      </w:pPr>
      <w:r w:rsidRPr="00F753B0">
        <w:rPr>
          <w:b/>
          <w:i/>
          <w:u w:val="single"/>
        </w:rPr>
        <w:t xml:space="preserve">Issue of </w:t>
      </w:r>
      <w:r>
        <w:rPr>
          <w:b/>
          <w:i/>
          <w:u w:val="single"/>
        </w:rPr>
        <w:t>far distance between NOTE indication and definition</w:t>
      </w:r>
    </w:p>
    <w:p w:rsidR="003A27F2" w:rsidRPr="00AD503A" w:rsidRDefault="003A27F2" w:rsidP="006F32C6">
      <w:pPr>
        <w:spacing w:after="60"/>
      </w:pPr>
    </w:p>
    <w:p w:rsidR="00AD503A" w:rsidRDefault="00AD503A" w:rsidP="006F32C6">
      <w:pPr>
        <w:spacing w:after="60"/>
      </w:pPr>
      <w:r>
        <w:t>For some cases especially in clause 5 for CA/DC configuration tables, the distance between NOTE indication and definition are far away, some of which are even hundreds of pages. A solution of using hyperlink is suggested in [3].</w:t>
      </w:r>
    </w:p>
    <w:p w:rsidR="00AD503A" w:rsidRDefault="00AD503A" w:rsidP="006F32C6">
      <w:pPr>
        <w:spacing w:after="60"/>
      </w:pPr>
    </w:p>
    <w:p w:rsidR="00AD503A" w:rsidRDefault="00AD503A" w:rsidP="00AD503A">
      <w:pPr>
        <w:spacing w:after="60"/>
      </w:pPr>
      <w:r>
        <w:lastRenderedPageBreak/>
        <w:t xml:space="preserve">For example, a hyperlink to </w:t>
      </w:r>
      <w:r>
        <w:rPr>
          <w:highlight w:val="yellow"/>
        </w:rPr>
        <w:t>Tag “NOTE</w:t>
      </w:r>
      <w:r w:rsidRPr="006611B9">
        <w:rPr>
          <w:highlight w:val="yellow"/>
        </w:rPr>
        <w:t>s for Table 5.5A.3.2-1a ~ Table 5.5A.3.2-1c”</w:t>
      </w:r>
      <w:r>
        <w:t xml:space="preserve"> is set for </w:t>
      </w:r>
      <w:r w:rsidRPr="006611B9">
        <w:rPr>
          <w:highlight w:val="yellow"/>
        </w:rPr>
        <w:t>CA_n1A-n3A-n7A</w:t>
      </w:r>
      <w:r>
        <w:t xml:space="preserve"> to indicate that there are NOTEs for this combination. Using “Alt </w:t>
      </w:r>
      <w:r>
        <w:rPr>
          <w:rFonts w:ascii="微软雅黑" w:eastAsia="微软雅黑" w:hAnsi="微软雅黑" w:hint="eastAsia"/>
        </w:rPr>
        <w:t>←</w:t>
      </w:r>
      <w:r>
        <w:t>” can browse back from the NOTEs tag to the band combination</w:t>
      </w:r>
      <w:r w:rsidRPr="008E1EC0">
        <w:t xml:space="preserve"> </w:t>
      </w:r>
      <w:r>
        <w:t>indicator.</w:t>
      </w:r>
    </w:p>
    <w:p w:rsidR="00205A2C" w:rsidRDefault="00205A2C" w:rsidP="00AD503A">
      <w:pPr>
        <w:spacing w:after="60"/>
        <w:rPr>
          <w:lang w:val="en-US"/>
        </w:rPr>
      </w:pPr>
    </w:p>
    <w:p w:rsidR="00AD503A" w:rsidRDefault="00205A2C" w:rsidP="00AD503A">
      <w:pPr>
        <w:spacing w:after="60"/>
        <w:rPr>
          <w:lang w:val="en-US"/>
        </w:rPr>
      </w:pPr>
      <w:r>
        <w:rPr>
          <w:noProof/>
          <w:lang w:val="en-US"/>
        </w:rPr>
        <mc:AlternateContent>
          <mc:Choice Requires="wpg">
            <w:drawing>
              <wp:anchor distT="0" distB="0" distL="114300" distR="114300" simplePos="0" relativeHeight="251668480" behindDoc="0" locked="0" layoutInCell="1" allowOverlap="1">
                <wp:simplePos x="0" y="0"/>
                <wp:positionH relativeFrom="column">
                  <wp:posOffset>-273830</wp:posOffset>
                </wp:positionH>
                <wp:positionV relativeFrom="paragraph">
                  <wp:posOffset>1707981</wp:posOffset>
                </wp:positionV>
                <wp:extent cx="429370" cy="2798859"/>
                <wp:effectExtent l="0" t="0" r="27940" b="97155"/>
                <wp:wrapNone/>
                <wp:docPr id="8" name="组合 8"/>
                <wp:cNvGraphicFramePr/>
                <a:graphic xmlns:a="http://schemas.openxmlformats.org/drawingml/2006/main">
                  <a:graphicData uri="http://schemas.microsoft.com/office/word/2010/wordprocessingGroup">
                    <wpg:wgp>
                      <wpg:cNvGrpSpPr/>
                      <wpg:grpSpPr>
                        <a:xfrm>
                          <a:off x="0" y="0"/>
                          <a:ext cx="429370" cy="2798859"/>
                          <a:chOff x="0" y="0"/>
                          <a:chExt cx="429370" cy="2798859"/>
                        </a:xfrm>
                      </wpg:grpSpPr>
                      <wps:wsp>
                        <wps:cNvPr id="5" name="直接连接符 5"/>
                        <wps:cNvCnPr/>
                        <wps:spPr>
                          <a:xfrm flipH="1">
                            <a:off x="0" y="17362"/>
                            <a:ext cx="429370"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0" y="0"/>
                            <a:ext cx="0" cy="2798859"/>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7" name="直接箭头连接符 7"/>
                        <wps:cNvCnPr/>
                        <wps:spPr>
                          <a:xfrm>
                            <a:off x="0" y="2795286"/>
                            <a:ext cx="246490" cy="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EC9482B" id="组合 8" o:spid="_x0000_s1026" style="position:absolute;left:0;text-align:left;margin-left:-21.55pt;margin-top:134.5pt;width:33.8pt;height:220.4pt;z-index:251668480" coordsize="4293,27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">
                <v:line id="直接连接符 5" o:spid="_x0000_s1027" style="position:absolute;flip:x;visibility:visible;mso-wrap-style:square" from="0,173" to="4293,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wCUcIAAADaAAAADwAAAGRycy9kb3ducmV2LnhtbESP0WrCQBRE3wX/YblC33QTwSrRTRCl&#10;IKVQm+YDLtlrEszejbtbTf++Wyj0cZiZM8yuGE0v7uR8Z1lBukhAENdWd9woqD5f5hsQPiBr7C2T&#10;gm/yUOTTyQ4zbR/8QfcyNCJC2GeooA1hyKT0dUsG/cIOxNG7WGcwROkaqR0+Itz0cpkkz9Jgx3Gh&#10;xYEOLdXX8ssoOKbrt/RG7iw378fXpGrKim6dUk+zcb8FEWgM/+G/9kkrWMHvlXgDZ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QwCUcIAAADaAAAADwAAAAAAAAAAAAAA&#10;AAChAgAAZHJzL2Rvd25yZXYueG1sUEsFBgAAAAAEAAQA+QAAAJADAAAAAA==&#10;" strokecolor="#5b9bd5 [3204]" strokeweight="1.5pt">
                  <v:stroke joinstyle="miter"/>
                </v:line>
                <v:line id="直接连接符 6" o:spid="_x0000_s1028" style="position:absolute;visibility:visible;mso-wrap-style:square" from="0,0" to="0,27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nqL8IAAADaAAAADwAAAGRycy9kb3ducmV2LnhtbESP0WqDQBRE3wv5h+UG+lbXBDTBZhNK&#10;INKnEk0+4OLeqtS9K+5GTb++WwjkcZiZM8zuMJtOjDS41rKCVRSDIK6sbrlWcL2c3rYgnEfW2Fkm&#10;BXdycNgvXnaYaTtxQWPpaxEg7DJU0HjfZ1K6qiGDLrI9cfC+7WDQBznUUg84Bbjp5DqOU2mw5bDQ&#10;YE/Hhqqf8mYUfP1e8zZZjfn9WNQJbvLJmfVZqdfl/PEOwtPsn+FH+1MrSOH/SrgBcv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RnqL8IAAADaAAAADwAAAAAAAAAAAAAA&#10;AAChAgAAZHJzL2Rvd25yZXYueG1sUEsFBgAAAAAEAAQA+QAAAJADAAAAAA==&#10;" strokecolor="#5b9bd5 [3204]" strokeweight="1.5pt">
                  <v:stroke joinstyle="miter"/>
                </v:line>
                <v:shapetype id="_x0000_t32" coordsize="21600,21600" o:spt="32" o:oned="t" path="m,l21600,21600e" filled="f">
                  <v:path arrowok="t" fillok="f" o:connecttype="none"/>
                  <o:lock v:ext="edit" shapetype="t"/>
                </v:shapetype>
                <v:shape id="直接箭头连接符 7" o:spid="_x0000_s1029" type="#_x0000_t32" style="position:absolute;top:27952;width:24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ukVcEAAADaAAAADwAAAGRycy9kb3ducmV2LnhtbESPT4vCMBTE74LfITzBi2iqB12qsch2&#10;BY9udfH6aF7/YPPSbbJav70RFjwOM/MbZpP0phE36lxtWcF8FoEgzq2uuVRwPu2nHyCcR9bYWCYF&#10;D3KQbIeDDcba3vmbbpkvRYCwi1FB5X0bS+nyigy6mW2Jg1fYzqAPsiul7vAe4KaRiyhaSoM1h4UK&#10;W/qsKL9mf0ZBShMnm9/ohy5fy0tRzI9pJkulxqN+twbhqffv8H/7oBWs4HUl3AC5f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66RVwQAAANoAAAAPAAAAAAAAAAAAAAAA&#10;AKECAABkcnMvZG93bnJldi54bWxQSwUGAAAAAAQABAD5AAAAjwMAAAAA&#10;" strokecolor="#5b9bd5 [3204]" strokeweight="1.5pt">
                  <v:stroke endarrow="block" joinstyle="miter"/>
                </v:shape>
              </v:group>
            </w:pict>
          </mc:Fallback>
        </mc:AlternateContent>
      </w:r>
      <w:r w:rsidR="00AD503A">
        <w:rPr>
          <w:lang w:val="en-US"/>
        </w:rPr>
        <w:t xml:space="preserve">---------------------------------- Example for NOTEs usage in far distance </w:t>
      </w:r>
      <w:r w:rsidR="00AD503A">
        <w:rPr>
          <w:rFonts w:hint="eastAsia"/>
          <w:lang w:val="en-US"/>
        </w:rPr>
        <w:t>-</w:t>
      </w:r>
      <w:r w:rsidR="00AD503A">
        <w:rPr>
          <w:lang w:val="en-US"/>
        </w:rPr>
        <w:t>---------------------------------</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1718"/>
        <w:gridCol w:w="773"/>
        <w:gridCol w:w="3128"/>
        <w:gridCol w:w="1498"/>
      </w:tblGrid>
      <w:tr w:rsidR="00AD503A" w:rsidRPr="001C7E11" w:rsidTr="00AD503A">
        <w:trPr>
          <w:trHeight w:val="29"/>
        </w:trPr>
        <w:tc>
          <w:tcPr>
            <w:tcW w:w="2046"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H"/>
              <w:rPr>
                <w:rFonts w:ascii="Calibri" w:hAnsi="Calibri"/>
                <w:sz w:val="21"/>
                <w:lang w:val="en-US"/>
              </w:rPr>
            </w:pPr>
            <w:r w:rsidRPr="001C7E11">
              <w:rPr>
                <w:lang w:val="en-US"/>
              </w:rPr>
              <w:t>NR CA configuration</w:t>
            </w:r>
          </w:p>
        </w:tc>
        <w:tc>
          <w:tcPr>
            <w:tcW w:w="1718"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H"/>
              <w:rPr>
                <w:lang w:val="en-US"/>
              </w:rPr>
            </w:pPr>
            <w:r w:rsidRPr="001C7E11">
              <w:rPr>
                <w:lang w:val="en-US"/>
              </w:rPr>
              <w:t>Uplink CA configuration</w:t>
            </w:r>
          </w:p>
          <w:p w:rsidR="00AD503A" w:rsidRPr="001C7E11" w:rsidRDefault="00AD503A" w:rsidP="00AD503A">
            <w:pPr>
              <w:pStyle w:val="TAH"/>
              <w:rPr>
                <w:rFonts w:ascii="Calibri" w:hAnsi="Calibri"/>
                <w:sz w:val="21"/>
                <w:szCs w:val="18"/>
                <w:lang w:val="en-US"/>
              </w:rPr>
            </w:pPr>
            <w:r w:rsidRPr="001C7E11">
              <w:rPr>
                <w:lang w:val="en-US"/>
              </w:rPr>
              <w:t>or single uplink carrier</w:t>
            </w:r>
            <w:r w:rsidRPr="001C7E11">
              <w:rPr>
                <w:vertAlign w:val="superscript"/>
                <w:lang w:val="en-US"/>
              </w:rPr>
              <w:t>6</w:t>
            </w:r>
          </w:p>
        </w:tc>
        <w:tc>
          <w:tcPr>
            <w:tcW w:w="773"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H"/>
              <w:rPr>
                <w:rFonts w:ascii="Calibri" w:hAnsi="Calibri"/>
                <w:sz w:val="21"/>
                <w:szCs w:val="18"/>
                <w:lang w:val="en-US"/>
              </w:rPr>
            </w:pPr>
            <w:r w:rsidRPr="001C7E11">
              <w:rPr>
                <w:lang w:val="en-US"/>
              </w:rPr>
              <w:t>NR Band</w:t>
            </w:r>
          </w:p>
        </w:tc>
        <w:tc>
          <w:tcPr>
            <w:tcW w:w="3128"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H"/>
              <w:rPr>
                <w:color w:val="000000"/>
                <w:szCs w:val="18"/>
                <w:lang w:val="en-US" w:bidi="ar"/>
              </w:rPr>
            </w:pPr>
            <w:r w:rsidRPr="001C7E11">
              <w:rPr>
                <w:lang w:val="en-US"/>
              </w:rPr>
              <w:t>Channel bandwidth (MHz) (NOTE 3)</w:t>
            </w:r>
          </w:p>
        </w:tc>
        <w:tc>
          <w:tcPr>
            <w:tcW w:w="1498"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H"/>
              <w:rPr>
                <w:rFonts w:ascii="Calibri" w:hAnsi="Calibri"/>
                <w:sz w:val="21"/>
                <w:lang w:val="en-US"/>
              </w:rPr>
            </w:pPr>
            <w:r w:rsidRPr="001C7E11">
              <w:rPr>
                <w:lang w:val="en-US"/>
              </w:rPr>
              <w:t>Bandwidth combination set</w:t>
            </w:r>
          </w:p>
        </w:tc>
      </w:tr>
      <w:tr w:rsidR="00AD503A" w:rsidRPr="001C7E11" w:rsidTr="00AD503A">
        <w:trPr>
          <w:trHeight w:val="29"/>
        </w:trPr>
        <w:tc>
          <w:tcPr>
            <w:tcW w:w="2046" w:type="dxa"/>
            <w:tcBorders>
              <w:top w:val="single" w:sz="4" w:space="0" w:color="auto"/>
              <w:left w:val="single" w:sz="4" w:space="0" w:color="auto"/>
              <w:bottom w:val="nil"/>
              <w:right w:val="single" w:sz="4" w:space="0" w:color="auto"/>
            </w:tcBorders>
            <w:vAlign w:val="center"/>
          </w:tcPr>
          <w:p w:rsidR="00AD503A" w:rsidRPr="001C7E11" w:rsidRDefault="00AD503A" w:rsidP="00AD503A">
            <w:pPr>
              <w:pStyle w:val="TAC"/>
              <w:rPr>
                <w:lang w:val="en-US"/>
              </w:rPr>
            </w:pPr>
            <w:r w:rsidRPr="001C7E11">
              <w:rPr>
                <w:lang w:val="en-US"/>
              </w:rPr>
              <w:t>CA_n1A-n3A-n5A</w:t>
            </w:r>
          </w:p>
        </w:tc>
        <w:tc>
          <w:tcPr>
            <w:tcW w:w="1718" w:type="dxa"/>
            <w:tcBorders>
              <w:top w:val="single" w:sz="4" w:space="0" w:color="auto"/>
              <w:left w:val="single" w:sz="4" w:space="0" w:color="auto"/>
              <w:bottom w:val="nil"/>
              <w:right w:val="single" w:sz="4" w:space="0" w:color="auto"/>
            </w:tcBorders>
            <w:vAlign w:val="center"/>
          </w:tcPr>
          <w:p w:rsidR="00AD503A" w:rsidRPr="001C7E11" w:rsidRDefault="00AD503A" w:rsidP="00AD503A">
            <w:pPr>
              <w:pStyle w:val="TAC"/>
              <w:rPr>
                <w:szCs w:val="18"/>
                <w:lang w:val="en-US"/>
              </w:rPr>
            </w:pPr>
            <w:r w:rsidRPr="001C7E11">
              <w:rPr>
                <w:szCs w:val="18"/>
                <w:lang w:val="en-US"/>
              </w:rPr>
              <w:t>CA_n1A-n3A</w:t>
            </w:r>
          </w:p>
          <w:p w:rsidR="00AD503A" w:rsidRPr="001C7E11" w:rsidRDefault="00AD503A" w:rsidP="00AD503A">
            <w:pPr>
              <w:pStyle w:val="TAC"/>
              <w:rPr>
                <w:szCs w:val="18"/>
                <w:lang w:val="en-US"/>
              </w:rPr>
            </w:pPr>
            <w:r w:rsidRPr="001C7E11">
              <w:rPr>
                <w:szCs w:val="18"/>
                <w:lang w:val="en-US"/>
              </w:rPr>
              <w:t>CA_n1A-n5A</w:t>
            </w:r>
          </w:p>
          <w:p w:rsidR="00AD503A" w:rsidRPr="001C7E11" w:rsidRDefault="00AD503A" w:rsidP="00AD503A">
            <w:pPr>
              <w:pStyle w:val="TAC"/>
              <w:rPr>
                <w:lang w:val="en-US"/>
              </w:rPr>
            </w:pPr>
            <w:r w:rsidRPr="001C7E11">
              <w:rPr>
                <w:szCs w:val="18"/>
                <w:lang w:val="en-US"/>
              </w:rPr>
              <w:t>CA_n3A-n5A</w:t>
            </w:r>
          </w:p>
        </w:tc>
        <w:tc>
          <w:tcPr>
            <w:tcW w:w="773"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szCs w:val="18"/>
                <w:lang w:val="en-US"/>
              </w:rPr>
            </w:pPr>
            <w:r w:rsidRPr="001C7E11">
              <w:rPr>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rFonts w:ascii="Calibri" w:hAnsi="Calibri"/>
                <w:sz w:val="21"/>
                <w:lang w:val="en-US"/>
              </w:rPr>
            </w:pPr>
            <w:r w:rsidRPr="001C7E11">
              <w:rPr>
                <w:lang w:val="en-US" w:bidi="ar"/>
              </w:rPr>
              <w:t>5, 10, 15, 20, 25, 30, 40, 50</w:t>
            </w:r>
          </w:p>
        </w:tc>
        <w:tc>
          <w:tcPr>
            <w:tcW w:w="1498" w:type="dxa"/>
            <w:tcBorders>
              <w:top w:val="single" w:sz="4" w:space="0" w:color="auto"/>
              <w:left w:val="single" w:sz="4" w:space="0" w:color="auto"/>
              <w:bottom w:val="nil"/>
              <w:right w:val="single" w:sz="4" w:space="0" w:color="auto"/>
            </w:tcBorders>
            <w:vAlign w:val="center"/>
          </w:tcPr>
          <w:p w:rsidR="00AD503A" w:rsidRPr="001C7E11" w:rsidRDefault="00AD503A" w:rsidP="00AD503A">
            <w:pPr>
              <w:pStyle w:val="TAC"/>
              <w:rPr>
                <w:lang w:val="en-US"/>
              </w:rPr>
            </w:pPr>
            <w:r w:rsidRPr="001C7E11">
              <w:rPr>
                <w:lang w:val="en-US"/>
              </w:rPr>
              <w:t>0</w:t>
            </w:r>
          </w:p>
        </w:tc>
      </w:tr>
      <w:tr w:rsidR="00AD503A" w:rsidRPr="001C7E11" w:rsidTr="00AD503A">
        <w:trPr>
          <w:trHeight w:val="29"/>
        </w:trPr>
        <w:tc>
          <w:tcPr>
            <w:tcW w:w="2046"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c>
          <w:tcPr>
            <w:tcW w:w="1718"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szCs w:val="18"/>
                <w:lang w:val="en-US"/>
              </w:rPr>
            </w:pPr>
            <w:r w:rsidRPr="001C7E11">
              <w:rPr>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rFonts w:ascii="Calibri" w:hAnsi="Calibri"/>
                <w:sz w:val="21"/>
                <w:lang w:val="en-US"/>
              </w:rPr>
            </w:pPr>
            <w:r w:rsidRPr="001C7E11">
              <w:rPr>
                <w:lang w:val="en-US" w:bidi="ar"/>
              </w:rPr>
              <w:t>5, 10, 15, 20, 25, 30, 40, 50</w:t>
            </w:r>
          </w:p>
        </w:tc>
        <w:tc>
          <w:tcPr>
            <w:tcW w:w="1498"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r>
      <w:tr w:rsidR="00AD503A" w:rsidRPr="001C7E11" w:rsidTr="00AD503A">
        <w:trPr>
          <w:trHeight w:val="29"/>
        </w:trPr>
        <w:tc>
          <w:tcPr>
            <w:tcW w:w="2046" w:type="dxa"/>
            <w:tcBorders>
              <w:top w:val="nil"/>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szCs w:val="18"/>
                <w:lang w:val="en-US"/>
              </w:rPr>
            </w:pPr>
            <w:r w:rsidRPr="001C7E11">
              <w:rPr>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rFonts w:ascii="Calibri" w:hAnsi="Calibri"/>
                <w:sz w:val="21"/>
                <w:lang w:val="en-US"/>
              </w:rPr>
            </w:pPr>
            <w:r w:rsidRPr="001C7E11">
              <w:rPr>
                <w:lang w:val="en-US" w:bidi="ar"/>
              </w:rPr>
              <w:t>5, 10, 15, 20</w:t>
            </w:r>
          </w:p>
        </w:tc>
        <w:tc>
          <w:tcPr>
            <w:tcW w:w="1498" w:type="dxa"/>
            <w:tcBorders>
              <w:top w:val="nil"/>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p>
        </w:tc>
      </w:tr>
      <w:tr w:rsidR="00AD503A" w:rsidRPr="001C7E11" w:rsidTr="00AD503A">
        <w:trPr>
          <w:trHeight w:val="29"/>
        </w:trPr>
        <w:tc>
          <w:tcPr>
            <w:tcW w:w="2046" w:type="dxa"/>
            <w:tcBorders>
              <w:top w:val="single" w:sz="4" w:space="0" w:color="auto"/>
              <w:left w:val="single" w:sz="4" w:space="0" w:color="auto"/>
              <w:bottom w:val="nil"/>
              <w:right w:val="single" w:sz="4" w:space="0" w:color="auto"/>
            </w:tcBorders>
            <w:vAlign w:val="center"/>
          </w:tcPr>
          <w:p w:rsidR="00AD503A" w:rsidRPr="001C7E11" w:rsidRDefault="002C74EC" w:rsidP="00AD503A">
            <w:pPr>
              <w:pStyle w:val="TAC"/>
              <w:rPr>
                <w:lang w:val="en-US"/>
              </w:rPr>
            </w:pPr>
            <w:hyperlink w:anchor="_Notes_for_Table" w:history="1">
              <w:r w:rsidR="00AD503A" w:rsidRPr="005C716B">
                <w:rPr>
                  <w:rStyle w:val="afe"/>
                  <w:highlight w:val="yellow"/>
                  <w:lang w:val="en-US"/>
                </w:rPr>
                <w:t>CA_n1</w:t>
              </w:r>
              <w:r w:rsidR="00AD503A" w:rsidRPr="005C716B">
                <w:rPr>
                  <w:rStyle w:val="afe"/>
                  <w:highlight w:val="yellow"/>
                  <w:lang w:val="sv-SE" w:eastAsia="ja-JP"/>
                </w:rPr>
                <w:t>A-n</w:t>
              </w:r>
              <w:r w:rsidR="00AD503A" w:rsidRPr="005C716B">
                <w:rPr>
                  <w:rStyle w:val="afe"/>
                  <w:highlight w:val="yellow"/>
                  <w:lang w:val="en-US"/>
                </w:rPr>
                <w:t>3</w:t>
              </w:r>
              <w:r w:rsidR="00AD503A" w:rsidRPr="005C716B">
                <w:rPr>
                  <w:rStyle w:val="afe"/>
                  <w:highlight w:val="yellow"/>
                  <w:lang w:val="sv-SE" w:eastAsia="ja-JP"/>
                </w:rPr>
                <w:t>A</w:t>
              </w:r>
              <w:r w:rsidR="00AD503A" w:rsidRPr="005C716B">
                <w:rPr>
                  <w:rStyle w:val="afe"/>
                  <w:highlight w:val="yellow"/>
                  <w:lang w:val="sv-SE"/>
                </w:rPr>
                <w:t>-n7A</w:t>
              </w:r>
            </w:hyperlink>
          </w:p>
        </w:tc>
        <w:tc>
          <w:tcPr>
            <w:tcW w:w="1718" w:type="dxa"/>
            <w:tcBorders>
              <w:top w:val="single" w:sz="4" w:space="0" w:color="auto"/>
              <w:left w:val="single" w:sz="4" w:space="0" w:color="auto"/>
              <w:bottom w:val="nil"/>
              <w:right w:val="single" w:sz="4" w:space="0" w:color="auto"/>
            </w:tcBorders>
            <w:vAlign w:val="center"/>
          </w:tcPr>
          <w:p w:rsidR="00AD503A" w:rsidRDefault="00AD503A" w:rsidP="00AD503A">
            <w:pPr>
              <w:pStyle w:val="TAC"/>
              <w:rPr>
                <w:szCs w:val="18"/>
                <w:vertAlign w:val="superscript"/>
                <w:lang w:val="es-US"/>
              </w:rPr>
            </w:pPr>
            <w:r>
              <w:rPr>
                <w:szCs w:val="18"/>
                <w:lang w:val="es-US"/>
              </w:rPr>
              <w:t>n3</w:t>
            </w:r>
            <w:r>
              <w:rPr>
                <w:szCs w:val="18"/>
                <w:vertAlign w:val="superscript"/>
                <w:lang w:val="es-US"/>
              </w:rPr>
              <w:t>7</w:t>
            </w:r>
          </w:p>
          <w:p w:rsidR="00AD503A" w:rsidRDefault="00AD503A" w:rsidP="00AD503A">
            <w:pPr>
              <w:pStyle w:val="TAC"/>
              <w:rPr>
                <w:szCs w:val="18"/>
                <w:vertAlign w:val="superscript"/>
                <w:lang w:val="es-US"/>
              </w:rPr>
            </w:pPr>
            <w:r>
              <w:rPr>
                <w:szCs w:val="18"/>
                <w:lang w:val="es-US"/>
              </w:rPr>
              <w:t>n7</w:t>
            </w:r>
            <w:r>
              <w:rPr>
                <w:szCs w:val="18"/>
                <w:vertAlign w:val="superscript"/>
                <w:lang w:val="es-US"/>
              </w:rPr>
              <w:t>7</w:t>
            </w:r>
          </w:p>
          <w:p w:rsidR="00AD503A" w:rsidRDefault="00AD503A" w:rsidP="00AD503A">
            <w:pPr>
              <w:pStyle w:val="TAC"/>
              <w:rPr>
                <w:szCs w:val="18"/>
                <w:lang w:val="sv-SE" w:eastAsia="ja-JP"/>
              </w:rPr>
            </w:pPr>
            <w:r>
              <w:rPr>
                <w:szCs w:val="18"/>
                <w:lang w:val="es-US"/>
              </w:rPr>
              <w:t>CA_n1</w:t>
            </w:r>
            <w:r>
              <w:rPr>
                <w:szCs w:val="18"/>
                <w:lang w:val="sv-SE" w:eastAsia="ja-JP"/>
              </w:rPr>
              <w:t>A-n</w:t>
            </w:r>
            <w:r>
              <w:rPr>
                <w:szCs w:val="18"/>
                <w:lang w:val="es-US"/>
              </w:rPr>
              <w:t>3</w:t>
            </w:r>
            <w:r>
              <w:rPr>
                <w:szCs w:val="18"/>
                <w:lang w:val="sv-SE" w:eastAsia="ja-JP"/>
              </w:rPr>
              <w:t>A</w:t>
            </w:r>
          </w:p>
          <w:p w:rsidR="00AD503A" w:rsidRDefault="00AD503A" w:rsidP="00AD503A">
            <w:pPr>
              <w:pStyle w:val="TAC"/>
              <w:rPr>
                <w:szCs w:val="18"/>
                <w:lang w:val="sv-SE" w:eastAsia="ja-JP"/>
              </w:rPr>
            </w:pPr>
            <w:r>
              <w:rPr>
                <w:szCs w:val="18"/>
                <w:lang w:val="sv-SE" w:eastAsia="ja-JP"/>
              </w:rPr>
              <w:t>CA_n1A-n7A</w:t>
            </w:r>
          </w:p>
          <w:p w:rsidR="00AD503A" w:rsidRPr="001C7E11" w:rsidRDefault="00AD503A" w:rsidP="00AD503A">
            <w:pPr>
              <w:pStyle w:val="TAC"/>
              <w:rPr>
                <w:lang w:val="en-US"/>
              </w:rPr>
            </w:pPr>
            <w:r>
              <w:rPr>
                <w:szCs w:val="18"/>
                <w:lang w:val="en-US"/>
              </w:rPr>
              <w:t>CA_n3A-n7A</w:t>
            </w:r>
          </w:p>
        </w:tc>
        <w:tc>
          <w:tcPr>
            <w:tcW w:w="773"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rFonts w:ascii="Calibri" w:hAnsi="Calibri"/>
                <w:sz w:val="21"/>
                <w:lang w:val="en-US"/>
              </w:rPr>
            </w:pPr>
            <w:r w:rsidRPr="001C7E11">
              <w:rPr>
                <w:lang w:val="en-US" w:bidi="ar"/>
              </w:rPr>
              <w:t>5, 10, 15, 20</w:t>
            </w:r>
          </w:p>
        </w:tc>
        <w:tc>
          <w:tcPr>
            <w:tcW w:w="1498" w:type="dxa"/>
            <w:tcBorders>
              <w:top w:val="single" w:sz="4" w:space="0" w:color="auto"/>
              <w:left w:val="single" w:sz="4" w:space="0" w:color="auto"/>
              <w:bottom w:val="nil"/>
              <w:right w:val="single" w:sz="4" w:space="0" w:color="auto"/>
            </w:tcBorders>
            <w:vAlign w:val="center"/>
          </w:tcPr>
          <w:p w:rsidR="00AD503A" w:rsidRPr="001C7E11" w:rsidRDefault="00AD503A" w:rsidP="00AD503A">
            <w:pPr>
              <w:pStyle w:val="TAC"/>
              <w:rPr>
                <w:lang w:val="en-US"/>
              </w:rPr>
            </w:pPr>
            <w:r w:rsidRPr="001C7E11">
              <w:rPr>
                <w:lang w:val="en-US"/>
              </w:rPr>
              <w:t>0</w:t>
            </w:r>
          </w:p>
        </w:tc>
      </w:tr>
      <w:tr w:rsidR="00AD503A" w:rsidRPr="001C7E11" w:rsidTr="00AD503A">
        <w:trPr>
          <w:trHeight w:val="29"/>
        </w:trPr>
        <w:tc>
          <w:tcPr>
            <w:tcW w:w="2046"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c>
          <w:tcPr>
            <w:tcW w:w="1718"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rFonts w:ascii="Calibri" w:hAnsi="Calibri"/>
                <w:sz w:val="21"/>
                <w:lang w:val="en-US"/>
              </w:rPr>
            </w:pPr>
            <w:r w:rsidRPr="001C7E11">
              <w:rPr>
                <w:lang w:val="en-US" w:bidi="ar"/>
              </w:rPr>
              <w:t>5, 10, 15, 20, 25, 30</w:t>
            </w:r>
          </w:p>
        </w:tc>
        <w:tc>
          <w:tcPr>
            <w:tcW w:w="1498"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r>
      <w:tr w:rsidR="00AD503A" w:rsidRPr="001C7E11" w:rsidTr="00AD503A">
        <w:trPr>
          <w:trHeight w:val="29"/>
        </w:trPr>
        <w:tc>
          <w:tcPr>
            <w:tcW w:w="2046"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c>
          <w:tcPr>
            <w:tcW w:w="1718"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rFonts w:ascii="Calibri" w:hAnsi="Calibri"/>
                <w:sz w:val="21"/>
                <w:lang w:val="en-US"/>
              </w:rPr>
            </w:pPr>
            <w:r w:rsidRPr="001C7E11">
              <w:rPr>
                <w:lang w:val="en-US" w:bidi="ar"/>
              </w:rPr>
              <w:t>5, 10, 15, 20, 25, 30, 40, 50</w:t>
            </w:r>
          </w:p>
        </w:tc>
        <w:tc>
          <w:tcPr>
            <w:tcW w:w="1498" w:type="dxa"/>
            <w:tcBorders>
              <w:top w:val="nil"/>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p>
        </w:tc>
      </w:tr>
      <w:tr w:rsidR="00AD503A" w:rsidRPr="001C7E11" w:rsidTr="00AD503A">
        <w:trPr>
          <w:trHeight w:val="29"/>
        </w:trPr>
        <w:tc>
          <w:tcPr>
            <w:tcW w:w="2046"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c>
          <w:tcPr>
            <w:tcW w:w="1718"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rFonts w:ascii="Calibri" w:hAnsi="Calibri"/>
                <w:sz w:val="21"/>
                <w:lang w:val="en-US"/>
              </w:rPr>
            </w:pPr>
            <w:r w:rsidRPr="001C7E11">
              <w:rPr>
                <w:lang w:val="en-US" w:bidi="ar"/>
              </w:rPr>
              <w:t>5, 10, 15, 20, 25, 30, 40, 50</w:t>
            </w:r>
          </w:p>
        </w:tc>
        <w:tc>
          <w:tcPr>
            <w:tcW w:w="1498"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r w:rsidRPr="001C7E11">
              <w:rPr>
                <w:lang w:val="en-US"/>
              </w:rPr>
              <w:t>1</w:t>
            </w:r>
          </w:p>
        </w:tc>
      </w:tr>
      <w:tr w:rsidR="00AD503A" w:rsidRPr="001C7E11" w:rsidTr="00AD503A">
        <w:trPr>
          <w:trHeight w:val="29"/>
        </w:trPr>
        <w:tc>
          <w:tcPr>
            <w:tcW w:w="2046"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c>
          <w:tcPr>
            <w:tcW w:w="1718"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rFonts w:ascii="Calibri" w:hAnsi="Calibri"/>
                <w:sz w:val="21"/>
                <w:lang w:val="en-US"/>
              </w:rPr>
            </w:pPr>
            <w:r w:rsidRPr="001C7E11">
              <w:rPr>
                <w:lang w:val="en-US" w:bidi="ar"/>
              </w:rPr>
              <w:t>5, 10, 15, 20, 25, 30, 40</w:t>
            </w:r>
          </w:p>
        </w:tc>
        <w:tc>
          <w:tcPr>
            <w:tcW w:w="1498"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r>
      <w:tr w:rsidR="00AD503A" w:rsidRPr="001C7E11" w:rsidTr="00AD503A">
        <w:trPr>
          <w:trHeight w:val="29"/>
        </w:trPr>
        <w:tc>
          <w:tcPr>
            <w:tcW w:w="2046"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c>
          <w:tcPr>
            <w:tcW w:w="1718"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rFonts w:ascii="Calibri" w:hAnsi="Calibri"/>
                <w:sz w:val="21"/>
                <w:lang w:val="en-US"/>
              </w:rPr>
            </w:pPr>
            <w:r w:rsidRPr="001C7E11">
              <w:rPr>
                <w:lang w:val="en-US" w:bidi="ar"/>
              </w:rPr>
              <w:t>5, 10, 15, 20, 25, 30, 40, 50</w:t>
            </w:r>
          </w:p>
        </w:tc>
        <w:tc>
          <w:tcPr>
            <w:tcW w:w="1498" w:type="dxa"/>
            <w:tcBorders>
              <w:top w:val="nil"/>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p>
        </w:tc>
      </w:tr>
      <w:tr w:rsidR="00AD503A" w:rsidRPr="001C7E11" w:rsidTr="00AD503A">
        <w:trPr>
          <w:trHeight w:val="29"/>
        </w:trPr>
        <w:tc>
          <w:tcPr>
            <w:tcW w:w="2046"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c>
          <w:tcPr>
            <w:tcW w:w="1718"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rFonts w:ascii="Calibri" w:hAnsi="Calibri"/>
                <w:sz w:val="21"/>
                <w:lang w:val="en-US"/>
              </w:rPr>
            </w:pPr>
            <w:r w:rsidRPr="001C7E11">
              <w:rPr>
                <w:lang w:val="en-US" w:bidi="ar"/>
              </w:rPr>
              <w:t>5, 10, 15, 20</w:t>
            </w:r>
          </w:p>
        </w:tc>
        <w:tc>
          <w:tcPr>
            <w:tcW w:w="1498" w:type="dxa"/>
            <w:tcBorders>
              <w:top w:val="single" w:sz="4" w:space="0" w:color="auto"/>
              <w:left w:val="single" w:sz="4" w:space="0" w:color="auto"/>
              <w:bottom w:val="nil"/>
              <w:right w:val="single" w:sz="4" w:space="0" w:color="auto"/>
            </w:tcBorders>
            <w:vAlign w:val="center"/>
          </w:tcPr>
          <w:p w:rsidR="00AD503A" w:rsidRPr="001C7E11" w:rsidRDefault="00AD503A" w:rsidP="00AD503A">
            <w:pPr>
              <w:pStyle w:val="TAC"/>
              <w:rPr>
                <w:lang w:val="en-US"/>
              </w:rPr>
            </w:pPr>
            <w:r w:rsidRPr="001C7E11">
              <w:rPr>
                <w:szCs w:val="18"/>
                <w:lang w:val="en-US"/>
              </w:rPr>
              <w:t>2</w:t>
            </w:r>
          </w:p>
        </w:tc>
      </w:tr>
      <w:tr w:rsidR="00AD503A" w:rsidRPr="001C7E11" w:rsidTr="00AD503A">
        <w:trPr>
          <w:trHeight w:val="29"/>
        </w:trPr>
        <w:tc>
          <w:tcPr>
            <w:tcW w:w="2046"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c>
          <w:tcPr>
            <w:tcW w:w="1718"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rFonts w:ascii="Calibri" w:hAnsi="Calibri"/>
                <w:sz w:val="21"/>
                <w:lang w:val="en-US"/>
              </w:rPr>
            </w:pPr>
            <w:r w:rsidRPr="001C7E11">
              <w:rPr>
                <w:lang w:val="en-US" w:bidi="ar"/>
              </w:rPr>
              <w:t>5, 10, 15, 20, 25, 30, 40</w:t>
            </w:r>
          </w:p>
        </w:tc>
        <w:tc>
          <w:tcPr>
            <w:tcW w:w="1498"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r>
      <w:tr w:rsidR="00AD503A" w:rsidRPr="001C7E11" w:rsidTr="00AD503A">
        <w:trPr>
          <w:trHeight w:val="29"/>
        </w:trPr>
        <w:tc>
          <w:tcPr>
            <w:tcW w:w="2046"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rFonts w:ascii="Calibri" w:hAnsi="Calibri"/>
                <w:sz w:val="21"/>
                <w:lang w:val="en-US"/>
              </w:rPr>
            </w:pPr>
            <w:r w:rsidRPr="001C7E11">
              <w:rPr>
                <w:lang w:val="en-US" w:bidi="ar"/>
              </w:rPr>
              <w:t>5, 10, 15, 20, 25, 30, 40, 50</w:t>
            </w:r>
          </w:p>
        </w:tc>
        <w:tc>
          <w:tcPr>
            <w:tcW w:w="1498" w:type="dxa"/>
            <w:tcBorders>
              <w:top w:val="nil"/>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p>
        </w:tc>
      </w:tr>
      <w:tr w:rsidR="00AD503A" w:rsidRPr="001C7E11" w:rsidTr="00AD503A">
        <w:trPr>
          <w:trHeight w:val="29"/>
        </w:trPr>
        <w:tc>
          <w:tcPr>
            <w:tcW w:w="2046"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c>
          <w:tcPr>
            <w:tcW w:w="1718" w:type="dxa"/>
            <w:tcBorders>
              <w:top w:val="single" w:sz="4" w:space="0" w:color="auto"/>
              <w:left w:val="single" w:sz="4" w:space="0" w:color="auto"/>
              <w:bottom w:val="nil"/>
              <w:right w:val="single" w:sz="4" w:space="0" w:color="auto"/>
            </w:tcBorders>
            <w:vAlign w:val="center"/>
          </w:tcPr>
          <w:p w:rsidR="00AD503A" w:rsidRDefault="00AD503A" w:rsidP="00AD503A">
            <w:pPr>
              <w:pStyle w:val="TAC"/>
              <w:rPr>
                <w:szCs w:val="18"/>
                <w:vertAlign w:val="superscript"/>
                <w:lang w:val="es-US"/>
              </w:rPr>
            </w:pPr>
            <w:r>
              <w:rPr>
                <w:szCs w:val="18"/>
                <w:lang w:val="es-US"/>
              </w:rPr>
              <w:t>n3</w:t>
            </w:r>
            <w:r>
              <w:rPr>
                <w:szCs w:val="18"/>
                <w:vertAlign w:val="superscript"/>
                <w:lang w:val="es-US"/>
              </w:rPr>
              <w:t>7</w:t>
            </w:r>
          </w:p>
          <w:p w:rsidR="00AD503A" w:rsidRPr="001C7E11" w:rsidRDefault="00AD503A" w:rsidP="00AD503A">
            <w:pPr>
              <w:pStyle w:val="TAC"/>
              <w:rPr>
                <w:lang w:val="en-US"/>
              </w:rPr>
            </w:pPr>
            <w:r>
              <w:rPr>
                <w:szCs w:val="18"/>
                <w:lang w:val="es-US"/>
              </w:rPr>
              <w:t>n7</w:t>
            </w:r>
            <w:r>
              <w:rPr>
                <w:szCs w:val="18"/>
                <w:vertAlign w:val="superscript"/>
                <w:lang w:val="es-US"/>
              </w:rPr>
              <w:t>7</w:t>
            </w:r>
          </w:p>
        </w:tc>
        <w:tc>
          <w:tcPr>
            <w:tcW w:w="773"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r w:rsidRPr="001C7E11">
              <w:rPr>
                <w:rFonts w:hint="eastAsia"/>
              </w:rPr>
              <w:t>n</w:t>
            </w:r>
            <w:r w:rsidRPr="001C7E11">
              <w:t>1</w:t>
            </w:r>
          </w:p>
        </w:tc>
        <w:tc>
          <w:tcPr>
            <w:tcW w:w="3128"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lang w:val="en-US" w:bidi="ar"/>
              </w:rPr>
            </w:pPr>
            <w:r w:rsidRPr="001C7E11">
              <w:rPr>
                <w:color w:val="000000"/>
                <w:szCs w:val="18"/>
              </w:rPr>
              <w:t>n</w:t>
            </w:r>
            <w:r w:rsidRPr="001C7E11">
              <w:t>1</w:t>
            </w:r>
            <w:r w:rsidRPr="001C7E11">
              <w:rPr>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rsidR="00AD503A" w:rsidRPr="001C7E11" w:rsidRDefault="00AD503A" w:rsidP="00AD503A">
            <w:pPr>
              <w:pStyle w:val="TAC"/>
              <w:rPr>
                <w:lang w:val="en-US"/>
              </w:rPr>
            </w:pPr>
            <w:r w:rsidRPr="001C7E11">
              <w:t>4 and 5</w:t>
            </w:r>
          </w:p>
        </w:tc>
      </w:tr>
      <w:tr w:rsidR="00AD503A" w:rsidRPr="001C7E11" w:rsidTr="00AD503A">
        <w:trPr>
          <w:trHeight w:val="29"/>
        </w:trPr>
        <w:tc>
          <w:tcPr>
            <w:tcW w:w="2046"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c>
          <w:tcPr>
            <w:tcW w:w="1718"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r w:rsidRPr="001C7E11">
              <w:rPr>
                <w:rFonts w:hint="eastAsia"/>
              </w:rPr>
              <w:t>n</w:t>
            </w:r>
            <w:r w:rsidRPr="001C7E11">
              <w:t>3</w:t>
            </w:r>
          </w:p>
        </w:tc>
        <w:tc>
          <w:tcPr>
            <w:tcW w:w="3128"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lang w:val="en-US" w:bidi="ar"/>
              </w:rPr>
            </w:pPr>
            <w:r w:rsidRPr="001C7E11">
              <w:rPr>
                <w:color w:val="000000"/>
                <w:szCs w:val="18"/>
              </w:rPr>
              <w:t>n</w:t>
            </w:r>
            <w:r w:rsidRPr="001C7E11">
              <w:t>3</w:t>
            </w:r>
            <w:r w:rsidRPr="001C7E11">
              <w:rPr>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rsidR="00AD503A" w:rsidRPr="001C7E11" w:rsidRDefault="00AD503A" w:rsidP="00AD503A">
            <w:pPr>
              <w:pStyle w:val="TAC"/>
              <w:rPr>
                <w:lang w:val="en-US"/>
              </w:rPr>
            </w:pPr>
          </w:p>
        </w:tc>
      </w:tr>
      <w:tr w:rsidR="00AD503A" w:rsidRPr="001C7E11" w:rsidTr="00AD503A">
        <w:trPr>
          <w:trHeight w:val="29"/>
        </w:trPr>
        <w:tc>
          <w:tcPr>
            <w:tcW w:w="2046" w:type="dxa"/>
            <w:tcBorders>
              <w:top w:val="nil"/>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r w:rsidRPr="001C7E11">
              <w:rPr>
                <w:rFonts w:hint="eastAsia"/>
              </w:rPr>
              <w:t>n</w:t>
            </w:r>
            <w:r w:rsidRPr="001C7E11">
              <w:t>7</w:t>
            </w:r>
          </w:p>
        </w:tc>
        <w:tc>
          <w:tcPr>
            <w:tcW w:w="3128"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lang w:val="en-US" w:bidi="ar"/>
              </w:rPr>
            </w:pPr>
            <w:r w:rsidRPr="001C7E11">
              <w:rPr>
                <w:color w:val="000000"/>
                <w:szCs w:val="18"/>
              </w:rPr>
              <w:t>n</w:t>
            </w:r>
            <w:r w:rsidRPr="001C7E11">
              <w:t>7</w:t>
            </w:r>
            <w:r w:rsidRPr="001C7E11">
              <w:rPr>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p>
        </w:tc>
      </w:tr>
      <w:tr w:rsidR="00AD503A" w:rsidRPr="001C7E11" w:rsidTr="00AD503A">
        <w:trPr>
          <w:trHeight w:val="29"/>
        </w:trPr>
        <w:tc>
          <w:tcPr>
            <w:tcW w:w="2046"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r>
              <w:rPr>
                <w:rFonts w:ascii="微软雅黑" w:eastAsia="微软雅黑" w:hAnsi="微软雅黑" w:hint="eastAsia"/>
                <w:lang w:val="en-US"/>
              </w:rPr>
              <w:t>…</w:t>
            </w:r>
          </w:p>
        </w:tc>
        <w:tc>
          <w:tcPr>
            <w:tcW w:w="1718"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r>
              <w:rPr>
                <w:rFonts w:ascii="微软雅黑" w:eastAsia="微软雅黑" w:hAnsi="微软雅黑" w:hint="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pPr>
            <w:r>
              <w:rPr>
                <w:rFonts w:ascii="微软雅黑" w:eastAsia="微软雅黑" w:hAnsi="微软雅黑" w:hint="eastAsia"/>
                <w:lang w:val="en-US"/>
              </w:rPr>
              <w:t>…</w:t>
            </w:r>
          </w:p>
        </w:tc>
        <w:tc>
          <w:tcPr>
            <w:tcW w:w="3128"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color w:val="000000"/>
                <w:szCs w:val="18"/>
              </w:rPr>
            </w:pPr>
            <w:r>
              <w:rPr>
                <w:rFonts w:ascii="微软雅黑" w:eastAsia="微软雅黑" w:hAnsi="微软雅黑" w:hint="eastAsia"/>
                <w:lang w:val="en-US"/>
              </w:rPr>
              <w:t>…</w:t>
            </w:r>
          </w:p>
        </w:tc>
        <w:tc>
          <w:tcPr>
            <w:tcW w:w="1498" w:type="dxa"/>
            <w:tcBorders>
              <w:top w:val="single" w:sz="4" w:space="0" w:color="auto"/>
              <w:left w:val="single" w:sz="4" w:space="0" w:color="auto"/>
              <w:bottom w:val="single" w:sz="4" w:space="0" w:color="auto"/>
              <w:right w:val="single" w:sz="4" w:space="0" w:color="auto"/>
            </w:tcBorders>
            <w:vAlign w:val="center"/>
          </w:tcPr>
          <w:p w:rsidR="00AD503A" w:rsidRPr="001C7E11" w:rsidRDefault="00AD503A" w:rsidP="00AD503A">
            <w:pPr>
              <w:pStyle w:val="TAC"/>
              <w:rPr>
                <w:lang w:val="en-US"/>
              </w:rPr>
            </w:pPr>
            <w:r>
              <w:rPr>
                <w:rFonts w:ascii="微软雅黑" w:eastAsia="微软雅黑" w:hAnsi="微软雅黑" w:hint="eastAsia"/>
                <w:lang w:val="en-US"/>
              </w:rPr>
              <w:t>…</w:t>
            </w:r>
          </w:p>
        </w:tc>
      </w:tr>
    </w:tbl>
    <w:p w:rsidR="00AD503A" w:rsidRDefault="00AD503A" w:rsidP="00AD503A">
      <w:pPr>
        <w:spacing w:after="60"/>
        <w:rPr>
          <w:lang w:val="en-US"/>
        </w:rPr>
      </w:pPr>
    </w:p>
    <w:p w:rsidR="00AD503A" w:rsidRPr="005C716B" w:rsidRDefault="00AD503A" w:rsidP="00AD503A">
      <w:pPr>
        <w:pStyle w:val="5"/>
        <w:numPr>
          <w:ilvl w:val="0"/>
          <w:numId w:val="0"/>
        </w:numPr>
        <w:rPr>
          <w:bCs/>
          <w:sz w:val="20"/>
        </w:rPr>
      </w:pPr>
      <w:bookmarkStart w:id="2" w:name="_Notes_for_Table"/>
      <w:bookmarkEnd w:id="2"/>
      <w:r w:rsidRPr="005C716B">
        <w:rPr>
          <w:sz w:val="20"/>
          <w:highlight w:val="yellow"/>
        </w:rPr>
        <w:t>N</w:t>
      </w:r>
      <w:r>
        <w:rPr>
          <w:sz w:val="20"/>
          <w:highlight w:val="yellow"/>
        </w:rPr>
        <w:t>OTE</w:t>
      </w:r>
      <w:r w:rsidRPr="005C716B">
        <w:rPr>
          <w:sz w:val="20"/>
          <w:highlight w:val="yellow"/>
        </w:rPr>
        <w:t>s for Table 5.5A.3.2-1a ~ Table 5.5A.3.2-1c.</w:t>
      </w:r>
    </w:p>
    <w:p w:rsidR="00AD503A" w:rsidRPr="00991B6E" w:rsidRDefault="00AD503A" w:rsidP="00AD503A">
      <w:pPr>
        <w:pStyle w:val="FL"/>
        <w:jc w:val="left"/>
        <w:rPr>
          <w:bCs/>
          <w:lang w:val="en-US"/>
        </w:rPr>
      </w:pPr>
      <w:r w:rsidRPr="00991B6E">
        <w:rPr>
          <w:b w:val="0"/>
          <w:bCs/>
          <w:lang w:val="en-US"/>
        </w:rPr>
        <w:t>The following notes are applied to the above tables.</w:t>
      </w:r>
    </w:p>
    <w:p w:rsidR="00AD503A" w:rsidRPr="00E61D25" w:rsidRDefault="00AD503A" w:rsidP="00AD503A">
      <w:pPr>
        <w:pStyle w:val="TAN"/>
        <w:rPr>
          <w:lang w:val="en-US"/>
        </w:rPr>
      </w:pPr>
      <w:r w:rsidRPr="00E61D25">
        <w:rPr>
          <w:lang w:val="en-US"/>
        </w:rPr>
        <w:t>NOTE 1:</w:t>
      </w:r>
      <w:r w:rsidRPr="00E61D25">
        <w:rPr>
          <w:lang w:val="en-US"/>
        </w:rPr>
        <w:tab/>
        <w:t>This UE channel bandwidth is applicable only to downlink</w:t>
      </w:r>
    </w:p>
    <w:p w:rsidR="00AD503A" w:rsidRPr="00E61D25" w:rsidRDefault="00AD503A" w:rsidP="00AD503A">
      <w:pPr>
        <w:pStyle w:val="TAN"/>
        <w:rPr>
          <w:szCs w:val="18"/>
          <w:lang w:val="en-US"/>
        </w:rPr>
      </w:pPr>
      <w:r w:rsidRPr="00E61D25">
        <w:rPr>
          <w:szCs w:val="18"/>
          <w:lang w:val="en-US"/>
        </w:rPr>
        <w:t>NOTE 2:</w:t>
      </w:r>
      <w:r w:rsidRPr="00E61D25">
        <w:rPr>
          <w:szCs w:val="18"/>
          <w:lang w:val="en-US"/>
        </w:rPr>
        <w:tab/>
        <w:t>For the 20 MHz bandwidth, the minimum requirements are specified for NR UL carrier frequencies confined to either 713-723 MHz or 728-738 </w:t>
      </w:r>
      <w:proofErr w:type="spellStart"/>
      <w:r w:rsidRPr="00E61D25">
        <w:rPr>
          <w:szCs w:val="18"/>
          <w:lang w:val="en-US"/>
        </w:rPr>
        <w:t>MHz.</w:t>
      </w:r>
      <w:proofErr w:type="spellEnd"/>
    </w:p>
    <w:p w:rsidR="00AD503A" w:rsidRPr="00E61D25" w:rsidRDefault="00AD503A" w:rsidP="00AD503A">
      <w:pPr>
        <w:pStyle w:val="TAN"/>
        <w:rPr>
          <w:lang w:val="en-US"/>
        </w:rPr>
      </w:pPr>
      <w:r w:rsidRPr="00E61D25">
        <w:rPr>
          <w:lang w:val="en-US"/>
        </w:rPr>
        <w:t>NOTE 3:</w:t>
      </w:r>
      <w:r w:rsidRPr="00E61D25">
        <w:rPr>
          <w:rFonts w:eastAsia="Yu Mincho"/>
          <w:lang w:val="en-US"/>
        </w:rPr>
        <w:t xml:space="preserve"> </w:t>
      </w:r>
      <w:r w:rsidRPr="00E61D25">
        <w:rPr>
          <w:rFonts w:eastAsia="Yu Mincho"/>
          <w:lang w:val="en-US"/>
        </w:rPr>
        <w:tab/>
      </w:r>
      <w:r w:rsidRPr="00393E8B">
        <w:rPr>
          <w:rFonts w:eastAsia="Yu Mincho"/>
          <w:lang w:val="en-US"/>
        </w:rPr>
        <w:t>For each channel bandwidth of each component carrier, refer to Table 5.3.5-1 for the applicable SCSs. For a given band, not all UE channel bandwidths support the same SCSs.</w:t>
      </w:r>
    </w:p>
    <w:p w:rsidR="00AD503A" w:rsidRPr="00E61D25" w:rsidRDefault="00AD503A" w:rsidP="00AD503A">
      <w:pPr>
        <w:pStyle w:val="TAN"/>
        <w:rPr>
          <w:lang w:val="en-US"/>
        </w:rPr>
      </w:pPr>
      <w:r w:rsidRPr="00E61D25">
        <w:rPr>
          <w:lang w:val="en-US"/>
        </w:rPr>
        <w:t>NOTE 4:</w:t>
      </w:r>
      <w:r w:rsidRPr="00E61D25">
        <w:rPr>
          <w:lang w:val="en-US"/>
        </w:rPr>
        <w:tab/>
        <w:t xml:space="preserve">The minimum requirements only apply for non-simultaneous </w:t>
      </w:r>
      <w:proofErr w:type="spellStart"/>
      <w:r w:rsidRPr="00E61D25">
        <w:rPr>
          <w:lang w:val="en-US"/>
        </w:rPr>
        <w:t>Tx</w:t>
      </w:r>
      <w:proofErr w:type="spellEnd"/>
      <w:r w:rsidRPr="00E61D25">
        <w:rPr>
          <w:lang w:val="en-US"/>
        </w:rPr>
        <w:t>/Rx between all carriers for TDD combinations.</w:t>
      </w:r>
    </w:p>
    <w:p w:rsidR="00AD503A" w:rsidRPr="00E61D25" w:rsidRDefault="00AD503A" w:rsidP="00AD503A">
      <w:pPr>
        <w:pStyle w:val="TAN"/>
        <w:rPr>
          <w:lang w:val="en-US"/>
        </w:rPr>
      </w:pPr>
      <w:r w:rsidRPr="00E61D25">
        <w:rPr>
          <w:lang w:val="en-US"/>
        </w:rPr>
        <w:t>NOTE 5:</w:t>
      </w:r>
      <w:r w:rsidRPr="00E61D25">
        <w:rPr>
          <w:lang w:val="en-US"/>
        </w:rPr>
        <w:tab/>
        <w:t>Simultaneous Rx/</w:t>
      </w:r>
      <w:proofErr w:type="spellStart"/>
      <w:r w:rsidRPr="00E61D25">
        <w:rPr>
          <w:lang w:val="en-US"/>
        </w:rPr>
        <w:t>Tx</w:t>
      </w:r>
      <w:proofErr w:type="spellEnd"/>
      <w:r w:rsidRPr="00E61D25">
        <w:rPr>
          <w:lang w:val="en-US"/>
        </w:rPr>
        <w:t xml:space="preserve"> capability for TDD combinations does not apply for UEs supporting band n78 with an n77 implementation.</w:t>
      </w:r>
    </w:p>
    <w:p w:rsidR="00AD503A" w:rsidRPr="00E61D25" w:rsidRDefault="00AD503A" w:rsidP="00AD503A">
      <w:pPr>
        <w:pStyle w:val="TAN"/>
        <w:rPr>
          <w:lang w:val="en-US"/>
        </w:rPr>
      </w:pPr>
      <w:r w:rsidRPr="00E61D25">
        <w:rPr>
          <w:lang w:val="en-US"/>
        </w:rPr>
        <w:t>NOTE 6:</w:t>
      </w:r>
      <w:r w:rsidRPr="00E61D25">
        <w:rPr>
          <w:lang w:val="en-US"/>
        </w:rPr>
        <w:tab/>
        <w:t>Only single uplink carriers with power class other than PC3 are listed.</w:t>
      </w:r>
    </w:p>
    <w:p w:rsidR="00AD503A" w:rsidRPr="00E61D25" w:rsidRDefault="00AD503A" w:rsidP="00AD503A">
      <w:pPr>
        <w:pStyle w:val="TAN"/>
        <w:rPr>
          <w:lang w:val="en-US"/>
        </w:rPr>
      </w:pPr>
      <w:r w:rsidRPr="00E61D25">
        <w:rPr>
          <w:lang w:val="en-US"/>
        </w:rPr>
        <w:t>NOTE 7:</w:t>
      </w:r>
      <w:r w:rsidRPr="00E61D25">
        <w:rPr>
          <w:lang w:val="en-US"/>
        </w:rPr>
        <w:tab/>
        <w:t>Minimum requirements for Power Class 2 are applicable for this uplink combination or single uplink carrier in this downlink/uplink combination</w:t>
      </w:r>
    </w:p>
    <w:p w:rsidR="00AD503A" w:rsidRPr="00E61D25" w:rsidRDefault="00AD503A" w:rsidP="00AD503A">
      <w:pPr>
        <w:pStyle w:val="TAN"/>
        <w:rPr>
          <w:lang w:val="en-US"/>
        </w:rPr>
      </w:pPr>
      <w:r w:rsidRPr="00E61D25">
        <w:rPr>
          <w:lang w:val="en-US"/>
        </w:rPr>
        <w:t>NOTE 8:</w:t>
      </w:r>
      <w:r w:rsidRPr="00E61D25">
        <w:rPr>
          <w:lang w:val="en-US"/>
        </w:rPr>
        <w:tab/>
        <w:t xml:space="preserve">For this bandwidth, the minimum requirements are restricted to operation when carrier is configured as </w:t>
      </w:r>
      <w:proofErr w:type="gramStart"/>
      <w:r w:rsidRPr="00E61D25">
        <w:rPr>
          <w:lang w:val="en-US"/>
        </w:rPr>
        <w:t>an</w:t>
      </w:r>
      <w:proofErr w:type="gramEnd"/>
      <w:r w:rsidRPr="00E61D25">
        <w:rPr>
          <w:lang w:val="en-US"/>
        </w:rPr>
        <w:t xml:space="preserve"> </w:t>
      </w:r>
      <w:proofErr w:type="spellStart"/>
      <w:r w:rsidRPr="00E61D25">
        <w:rPr>
          <w:lang w:val="en-US"/>
        </w:rPr>
        <w:t>SCell</w:t>
      </w:r>
      <w:proofErr w:type="spellEnd"/>
      <w:r w:rsidRPr="00E61D25">
        <w:rPr>
          <w:lang w:val="en-US"/>
        </w:rPr>
        <w:t xml:space="preserve"> part of DC or CA configuration.</w:t>
      </w:r>
    </w:p>
    <w:p w:rsidR="00AD503A" w:rsidRPr="00E61D25" w:rsidRDefault="00AD503A" w:rsidP="00AD503A">
      <w:pPr>
        <w:pStyle w:val="TAN"/>
        <w:rPr>
          <w:szCs w:val="18"/>
        </w:rPr>
      </w:pPr>
      <w:r w:rsidRPr="00E61D25">
        <w:rPr>
          <w:szCs w:val="18"/>
        </w:rPr>
        <w:t>NOTE 9:</w:t>
      </w:r>
      <w:r w:rsidRPr="00E61D25">
        <w:rPr>
          <w:szCs w:val="18"/>
        </w:rPr>
        <w:tab/>
        <w:t>Minimum requirements for Power Class 1.5 are applicable for single uplink carrier in this downlink/uplink combination</w:t>
      </w:r>
    </w:p>
    <w:p w:rsidR="00AD503A" w:rsidRPr="00E61D25" w:rsidRDefault="00AD503A" w:rsidP="00AD503A">
      <w:pPr>
        <w:pStyle w:val="TAN"/>
        <w:rPr>
          <w:szCs w:val="18"/>
          <w:lang w:val="en-US"/>
        </w:rPr>
      </w:pPr>
      <w:r w:rsidRPr="00E61D25">
        <w:rPr>
          <w:rFonts w:hint="eastAsia"/>
          <w:szCs w:val="18"/>
          <w:lang w:val="en-US"/>
        </w:rPr>
        <w:t>N</w:t>
      </w:r>
      <w:r w:rsidRPr="00E61D25">
        <w:rPr>
          <w:szCs w:val="18"/>
          <w:lang w:val="en-US"/>
        </w:rPr>
        <w:t>OTE 10</w:t>
      </w:r>
      <w:r w:rsidRPr="00D64A7D">
        <w:rPr>
          <w:szCs w:val="18"/>
        </w:rPr>
        <w:t>:</w:t>
      </w:r>
      <w:r w:rsidRPr="00D64A7D">
        <w:rPr>
          <w:szCs w:val="18"/>
        </w:rPr>
        <w:tab/>
      </w:r>
      <w:r w:rsidRPr="00E61D25">
        <w:rPr>
          <w:szCs w:val="18"/>
          <w:lang w:val="en-US"/>
        </w:rPr>
        <w:t>For a band combination which include band n7 and n38 simultaneously, carriers in band n7 and n38 can only be configured as downlink carriers. Power imbalance between downlink carriers on Band n7 and Band n38 is assumed to be within 6dB.</w:t>
      </w:r>
    </w:p>
    <w:p w:rsidR="00AD503A" w:rsidRDefault="00AD503A" w:rsidP="00AD503A">
      <w:pPr>
        <w:pStyle w:val="TAN"/>
        <w:rPr>
          <w:szCs w:val="18"/>
          <w:lang w:val="en-US"/>
        </w:rPr>
      </w:pPr>
      <w:r w:rsidRPr="00E61D25">
        <w:rPr>
          <w:rFonts w:hint="eastAsia"/>
          <w:szCs w:val="18"/>
          <w:lang w:val="en-US"/>
        </w:rPr>
        <w:t>NOTE</w:t>
      </w:r>
      <w:r w:rsidRPr="00E61D25">
        <w:rPr>
          <w:szCs w:val="18"/>
          <w:lang w:val="en-US"/>
        </w:rPr>
        <w:t xml:space="preserve"> 11: UL carrier shall be supported in Band n28 only. Power imbalance between downlink carriers on Band 7 and Band 38 is assumed to be within 6dB.</w:t>
      </w:r>
    </w:p>
    <w:p w:rsidR="00AD503A" w:rsidRPr="00E61D25" w:rsidRDefault="00AD503A" w:rsidP="00AD503A">
      <w:pPr>
        <w:pStyle w:val="TAN"/>
        <w:rPr>
          <w:szCs w:val="18"/>
          <w:lang w:val="en-US"/>
        </w:rPr>
      </w:pPr>
      <w:r w:rsidRPr="00D64A7D">
        <w:rPr>
          <w:szCs w:val="18"/>
        </w:rPr>
        <w:t>NOTE 1</w:t>
      </w:r>
      <w:r>
        <w:rPr>
          <w:szCs w:val="18"/>
        </w:rPr>
        <w:t>2</w:t>
      </w:r>
      <w:r w:rsidRPr="00D64A7D">
        <w:rPr>
          <w:szCs w:val="18"/>
        </w:rPr>
        <w:t>:</w:t>
      </w:r>
      <w:r w:rsidRPr="00D64A7D">
        <w:rPr>
          <w:szCs w:val="18"/>
        </w:rPr>
        <w:tab/>
        <w:t xml:space="preserve">For this bandwidth, the minimum requirements are restricted to operation when carrier is configured as a downlink </w:t>
      </w:r>
      <w:proofErr w:type="spellStart"/>
      <w:r w:rsidRPr="00D64A7D">
        <w:rPr>
          <w:szCs w:val="18"/>
        </w:rPr>
        <w:t>SCell</w:t>
      </w:r>
      <w:proofErr w:type="spellEnd"/>
      <w:r w:rsidRPr="00D64A7D">
        <w:rPr>
          <w:szCs w:val="18"/>
        </w:rPr>
        <w:t xml:space="preserve"> part of CA configuration</w:t>
      </w:r>
    </w:p>
    <w:p w:rsidR="00AD503A" w:rsidRDefault="00AD503A" w:rsidP="00AD503A">
      <w:pPr>
        <w:spacing w:after="60"/>
        <w:rPr>
          <w:lang w:val="en-US"/>
        </w:rPr>
      </w:pPr>
    </w:p>
    <w:p w:rsidR="00AD503A" w:rsidRDefault="00AD503A" w:rsidP="00AD503A">
      <w:pPr>
        <w:spacing w:after="60"/>
        <w:rPr>
          <w:lang w:val="en-US"/>
        </w:rPr>
      </w:pPr>
      <w:r>
        <w:rPr>
          <w:lang w:val="en-US"/>
        </w:rPr>
        <w:t xml:space="preserve">------------------------------ End of Example for NOTEs usage in far distance </w:t>
      </w:r>
      <w:r>
        <w:rPr>
          <w:rFonts w:hint="eastAsia"/>
          <w:lang w:val="en-US"/>
        </w:rPr>
        <w:t>-</w:t>
      </w:r>
      <w:r>
        <w:rPr>
          <w:lang w:val="en-US"/>
        </w:rPr>
        <w:t>----------------------------</w:t>
      </w:r>
    </w:p>
    <w:p w:rsidR="00205A2C" w:rsidRDefault="004C5224" w:rsidP="00205A2C">
      <w:pPr>
        <w:spacing w:after="60"/>
        <w:rPr>
          <w:b/>
        </w:rPr>
      </w:pPr>
      <w:r w:rsidRPr="00007DC9">
        <w:rPr>
          <w:rFonts w:hint="eastAsia"/>
          <w:b/>
          <w:u w:val="single"/>
        </w:rPr>
        <w:lastRenderedPageBreak/>
        <w:t>O</w:t>
      </w:r>
      <w:r>
        <w:rPr>
          <w:b/>
          <w:u w:val="single"/>
        </w:rPr>
        <w:t>bservation 4.</w:t>
      </w:r>
      <w:r w:rsidRPr="0068236F">
        <w:rPr>
          <w:b/>
        </w:rPr>
        <w:t xml:space="preserve">  </w:t>
      </w:r>
      <w:r>
        <w:rPr>
          <w:b/>
        </w:rPr>
        <w:t>If a NOTE indication is far away from the definition, a solution of using hyperlink could be used to point to the NOTE directly.</w:t>
      </w:r>
    </w:p>
    <w:p w:rsidR="00AD503A" w:rsidRPr="00205A2C" w:rsidRDefault="00AD503A" w:rsidP="006F32C6">
      <w:pPr>
        <w:spacing w:after="60"/>
      </w:pPr>
    </w:p>
    <w:p w:rsidR="006F32C6" w:rsidRDefault="006F32C6" w:rsidP="006F32C6">
      <w:pPr>
        <w:spacing w:after="60"/>
      </w:pPr>
      <w:r>
        <w:rPr>
          <w:b/>
          <w:u w:val="single"/>
        </w:rPr>
        <w:t>Proposal 1.</w:t>
      </w:r>
      <w:r w:rsidRPr="0068236F">
        <w:rPr>
          <w:b/>
        </w:rPr>
        <w:t xml:space="preserve">  </w:t>
      </w:r>
      <w:r>
        <w:rPr>
          <w:b/>
        </w:rPr>
        <w:t>It is proposed to capture the following drafting rules for NOTEs into the PRD.</w:t>
      </w:r>
    </w:p>
    <w:p w:rsidR="00407E5F" w:rsidRDefault="00407E5F" w:rsidP="006F32C6">
      <w:pPr>
        <w:pStyle w:val="a3"/>
        <w:numPr>
          <w:ilvl w:val="1"/>
          <w:numId w:val="49"/>
        </w:numPr>
        <w:ind w:left="709" w:hanging="305"/>
        <w:rPr>
          <w:b/>
        </w:rPr>
      </w:pPr>
      <w:r>
        <w:rPr>
          <w:b/>
        </w:rPr>
        <w:t>For the existing notes in table in current spec, the notes should not be moved outside the table due to the issues of large number of “void” notes and external references to the notes outside of RAN4.</w:t>
      </w:r>
    </w:p>
    <w:p w:rsidR="006F32C6" w:rsidRPr="00C301E0" w:rsidRDefault="00407E5F" w:rsidP="006F32C6">
      <w:pPr>
        <w:pStyle w:val="a3"/>
        <w:numPr>
          <w:ilvl w:val="1"/>
          <w:numId w:val="49"/>
        </w:numPr>
        <w:ind w:left="709" w:hanging="305"/>
        <w:rPr>
          <w:b/>
        </w:rPr>
      </w:pPr>
      <w:r>
        <w:rPr>
          <w:b/>
        </w:rPr>
        <w:t xml:space="preserve">For future notes in table, </w:t>
      </w:r>
    </w:p>
    <w:p w:rsidR="006F32C6" w:rsidRDefault="006F32C6" w:rsidP="00407E5F">
      <w:pPr>
        <w:pStyle w:val="a3"/>
        <w:numPr>
          <w:ilvl w:val="2"/>
          <w:numId w:val="49"/>
        </w:numPr>
        <w:ind w:left="1276" w:hanging="382"/>
        <w:rPr>
          <w:b/>
        </w:rPr>
      </w:pPr>
      <w:r w:rsidRPr="00C301E0">
        <w:rPr>
          <w:b/>
        </w:rPr>
        <w:t xml:space="preserve">Do not use </w:t>
      </w:r>
      <w:r>
        <w:rPr>
          <w:b/>
        </w:rPr>
        <w:t>NOTE</w:t>
      </w:r>
      <w:r w:rsidRPr="00C301E0">
        <w:rPr>
          <w:b/>
        </w:rPr>
        <w:t xml:space="preserve">s in tables for requirements that apply every cell/line </w:t>
      </w:r>
      <w:r w:rsidRPr="00407E5F">
        <w:rPr>
          <w:b/>
        </w:rPr>
        <w:t>or general requirements</w:t>
      </w:r>
      <w:r w:rsidRPr="00C301E0">
        <w:rPr>
          <w:b/>
        </w:rPr>
        <w:t xml:space="preserve"> in the table. Use text above the table instead</w:t>
      </w:r>
      <w:r>
        <w:rPr>
          <w:b/>
        </w:rPr>
        <w:t>.</w:t>
      </w:r>
    </w:p>
    <w:p w:rsidR="00407E5F" w:rsidRDefault="00130DBB" w:rsidP="00407E5F">
      <w:pPr>
        <w:pStyle w:val="a3"/>
        <w:numPr>
          <w:ilvl w:val="2"/>
          <w:numId w:val="49"/>
        </w:numPr>
        <w:ind w:left="1276" w:hanging="382"/>
        <w:rPr>
          <w:b/>
        </w:rPr>
      </w:pPr>
      <w:r>
        <w:rPr>
          <w:b/>
        </w:rPr>
        <w:t>I</w:t>
      </w:r>
      <w:r w:rsidR="00407E5F">
        <w:rPr>
          <w:b/>
        </w:rPr>
        <w:t xml:space="preserve">f similar notes are to be introduced into a table, a more generic note </w:t>
      </w:r>
      <w:r>
        <w:rPr>
          <w:b/>
        </w:rPr>
        <w:t xml:space="preserve">description </w:t>
      </w:r>
      <w:r w:rsidR="00407E5F">
        <w:rPr>
          <w:b/>
        </w:rPr>
        <w:t>should be considered.</w:t>
      </w:r>
    </w:p>
    <w:p w:rsidR="00130DBB" w:rsidRDefault="00130DBB" w:rsidP="00407E5F">
      <w:pPr>
        <w:pStyle w:val="a3"/>
        <w:numPr>
          <w:ilvl w:val="2"/>
          <w:numId w:val="49"/>
        </w:numPr>
        <w:ind w:left="1276" w:hanging="382"/>
        <w:rPr>
          <w:b/>
        </w:rPr>
      </w:pPr>
      <w:r>
        <w:rPr>
          <w:b/>
        </w:rPr>
        <w:t>If a note is relevant to a symbol or an abbreviation, an overview of clause 3 should be made to avoid redundant.</w:t>
      </w:r>
    </w:p>
    <w:p w:rsidR="00407E5F" w:rsidRPr="00C301E0" w:rsidRDefault="00407E5F" w:rsidP="00407E5F">
      <w:pPr>
        <w:pStyle w:val="a3"/>
        <w:numPr>
          <w:ilvl w:val="2"/>
          <w:numId w:val="49"/>
        </w:numPr>
        <w:ind w:left="1276" w:hanging="382"/>
        <w:rPr>
          <w:b/>
        </w:rPr>
      </w:pPr>
      <w:r>
        <w:rPr>
          <w:b/>
        </w:rPr>
        <w:t>If a NOTE indication is far away from the definition, a solution of using hyperlink is suggested to be used.</w:t>
      </w:r>
    </w:p>
    <w:p w:rsidR="00130DBB" w:rsidRPr="00185B6F" w:rsidRDefault="00130DBB" w:rsidP="00130DBB">
      <w:pPr>
        <w:pStyle w:val="2"/>
        <w:keepNext/>
        <w:keepLines/>
        <w:numPr>
          <w:ilvl w:val="1"/>
          <w:numId w:val="51"/>
        </w:numPr>
        <w:suppressAutoHyphens w:val="0"/>
        <w:spacing w:before="180" w:after="240"/>
      </w:pPr>
      <w:r>
        <w:t>Handling of symbols and abbreviations</w:t>
      </w:r>
    </w:p>
    <w:p w:rsidR="006F32C6" w:rsidRDefault="00CB60CA" w:rsidP="005D54B5">
      <w:pPr>
        <w:spacing w:after="60"/>
        <w:rPr>
          <w:rFonts w:eastAsia="MS Mincho"/>
          <w:lang w:eastAsia="ja-JP"/>
        </w:rPr>
      </w:pPr>
      <w:r w:rsidRPr="00CB60CA">
        <w:rPr>
          <w:rFonts w:hint="eastAsia"/>
        </w:rPr>
        <w:t>W</w:t>
      </w:r>
      <w:r w:rsidRPr="00CB60CA">
        <w:t>i</w:t>
      </w:r>
      <w:r>
        <w:t>th regards to the usage of symbols and abbreviations, some issues have been pointed out in [4]. For example, in TS 38.101-1</w:t>
      </w:r>
      <w:r w:rsidR="00091E93">
        <w:t xml:space="preserve">, MSD is used for 169 times while </w:t>
      </w:r>
      <w:r w:rsidR="00091E93">
        <w:rPr>
          <w:rFonts w:eastAsiaTheme="minorEastAsia"/>
        </w:rPr>
        <w:t xml:space="preserve">Maximum Sensitivity Degradation only appears once in abbreviations definition. </w:t>
      </w:r>
      <w:r w:rsidR="00091E93">
        <w:rPr>
          <w:rFonts w:eastAsia="MS Mincho"/>
          <w:lang w:eastAsia="ja-JP"/>
        </w:rPr>
        <w:t>On the other hand, MOP is NOT used across 38.101-1 and we see MOP only in abbreviation sub</w:t>
      </w:r>
      <w:r w:rsidR="00BA6216">
        <w:rPr>
          <w:rFonts w:eastAsia="MS Mincho"/>
          <w:lang w:eastAsia="ja-JP"/>
        </w:rPr>
        <w:t>-</w:t>
      </w:r>
      <w:r w:rsidR="00091E93">
        <w:rPr>
          <w:rFonts w:eastAsia="MS Mincho"/>
          <w:lang w:eastAsia="ja-JP"/>
        </w:rPr>
        <w:t xml:space="preserve">clause. Also, </w:t>
      </w:r>
      <w:r w:rsidR="00BA6216">
        <w:rPr>
          <w:rFonts w:eastAsia="MS Mincho"/>
          <w:lang w:eastAsia="ja-JP"/>
        </w:rPr>
        <w:t>some terminologies having similar meaning but use different names which makes reader quite confused. For example, Maximum Output Power, Maximum transmitter power and Maximum transmitted power, etc.</w:t>
      </w:r>
    </w:p>
    <w:p w:rsidR="00BA6216" w:rsidRDefault="008C0D48" w:rsidP="005D54B5">
      <w:pPr>
        <w:spacing w:after="60"/>
        <w:rPr>
          <w:rFonts w:eastAsiaTheme="minorEastAsia"/>
        </w:rPr>
      </w:pPr>
      <w:r>
        <w:rPr>
          <w:rFonts w:eastAsiaTheme="minorEastAsia" w:hint="eastAsia"/>
        </w:rPr>
        <w:t>N</w:t>
      </w:r>
      <w:r>
        <w:rPr>
          <w:rFonts w:eastAsiaTheme="minorEastAsia"/>
        </w:rPr>
        <w:t>ext we will talk about another symbol “</w:t>
      </w:r>
      <w:proofErr w:type="spellStart"/>
      <w:r>
        <w:rPr>
          <w:rFonts w:eastAsiaTheme="minorEastAsia"/>
        </w:rPr>
        <w:t>BW</w:t>
      </w:r>
      <w:r w:rsidRPr="008C0D48">
        <w:rPr>
          <w:rFonts w:eastAsiaTheme="minorEastAsia"/>
          <w:vertAlign w:val="subscript"/>
        </w:rPr>
        <w:t>channel</w:t>
      </w:r>
      <w:proofErr w:type="spellEnd"/>
      <w:r>
        <w:rPr>
          <w:rFonts w:eastAsiaTheme="minorEastAsia"/>
        </w:rPr>
        <w:t>” for channel bandwidth in the spec. We counted it in the spec, “</w:t>
      </w:r>
      <w:proofErr w:type="spellStart"/>
      <w:r>
        <w:rPr>
          <w:rFonts w:eastAsiaTheme="minorEastAsia"/>
        </w:rPr>
        <w:t>BW</w:t>
      </w:r>
      <w:r w:rsidRPr="008C0D48">
        <w:rPr>
          <w:rFonts w:eastAsiaTheme="minorEastAsia"/>
          <w:vertAlign w:val="subscript"/>
        </w:rPr>
        <w:t>channel</w:t>
      </w:r>
      <w:proofErr w:type="spellEnd"/>
      <w:r>
        <w:rPr>
          <w:rFonts w:eastAsiaTheme="minorEastAsia"/>
        </w:rPr>
        <w:t>” appears 351 times, and “channel bandwidth” appears 2308 times in TS 38.101-1.</w:t>
      </w:r>
      <w:r w:rsidR="00976417">
        <w:rPr>
          <w:rFonts w:eastAsiaTheme="minorEastAsia"/>
        </w:rPr>
        <w:t xml:space="preserve"> If we look at Table 5.5A.1-1 for intra-band contiguous CA in TS 38.101-2, we found that the symbol “</w:t>
      </w:r>
      <w:proofErr w:type="spellStart"/>
      <w:r w:rsidR="00976417">
        <w:rPr>
          <w:rFonts w:eastAsiaTheme="minorEastAsia"/>
        </w:rPr>
        <w:t>BW</w:t>
      </w:r>
      <w:r w:rsidR="00976417" w:rsidRPr="00976417">
        <w:rPr>
          <w:rFonts w:eastAsiaTheme="minorEastAsia"/>
          <w:vertAlign w:val="subscript"/>
        </w:rPr>
        <w:t>channel</w:t>
      </w:r>
      <w:proofErr w:type="spellEnd"/>
      <w:r w:rsidR="00976417">
        <w:rPr>
          <w:rFonts w:eastAsiaTheme="minorEastAsia"/>
        </w:rPr>
        <w:t>” is too long to fit in one row.</w:t>
      </w:r>
      <w:r w:rsidR="00711F1E">
        <w:rPr>
          <w:rFonts w:eastAsiaTheme="minorEastAsia"/>
        </w:rPr>
        <w:t xml:space="preserve"> It makes the CA configuration table heading quite bloated. We suggest if we could use “BW” for short in the table heading. For the 2308 times “channel bandwidth”, it seems we should use the symbol or abbreviation as much as possible, no need to use the original text.</w:t>
      </w:r>
    </w:p>
    <w:p w:rsidR="00976417" w:rsidRDefault="00976417" w:rsidP="005D54B5">
      <w:pPr>
        <w:spacing w:after="60"/>
        <w:rPr>
          <w:rFonts w:eastAsiaTheme="minorEastAsia"/>
        </w:rPr>
      </w:pPr>
      <w:r w:rsidRPr="00976417">
        <w:rPr>
          <w:rFonts w:eastAsiaTheme="minorEastAsia"/>
          <w:noProof/>
          <w:lang w:val="en-US"/>
        </w:rPr>
        <w:drawing>
          <wp:inline distT="0" distB="0" distL="0" distR="0" wp14:anchorId="7548D6F6" wp14:editId="08D967D3">
            <wp:extent cx="6121400" cy="721995"/>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1400" cy="721995"/>
                    </a:xfrm>
                    <a:prstGeom prst="rect">
                      <a:avLst/>
                    </a:prstGeom>
                  </pic:spPr>
                </pic:pic>
              </a:graphicData>
            </a:graphic>
          </wp:inline>
        </w:drawing>
      </w:r>
    </w:p>
    <w:p w:rsidR="00976417" w:rsidRPr="008C0D48" w:rsidRDefault="00976417" w:rsidP="00976417">
      <w:pPr>
        <w:spacing w:after="60"/>
        <w:jc w:val="center"/>
        <w:rPr>
          <w:rFonts w:eastAsiaTheme="minorEastAsia"/>
        </w:rPr>
      </w:pPr>
      <w:r>
        <w:rPr>
          <w:rFonts w:eastAsiaTheme="minorEastAsia" w:hint="eastAsia"/>
        </w:rPr>
        <w:t>(</w:t>
      </w:r>
      <w:r>
        <w:rPr>
          <w:rFonts w:eastAsiaTheme="minorEastAsia"/>
        </w:rPr>
        <w:t>TS 38.101-2)</w:t>
      </w:r>
    </w:p>
    <w:p w:rsidR="00BA6216" w:rsidRDefault="00976417" w:rsidP="005D54B5">
      <w:pPr>
        <w:spacing w:after="60"/>
        <w:rPr>
          <w:rFonts w:eastAsia="MS Mincho"/>
          <w:lang w:eastAsia="ja-JP"/>
        </w:rPr>
      </w:pPr>
      <w:r w:rsidRPr="00976417">
        <w:rPr>
          <w:rFonts w:eastAsia="MS Mincho"/>
          <w:noProof/>
          <w:lang w:val="en-US"/>
        </w:rPr>
        <w:drawing>
          <wp:inline distT="0" distB="0" distL="0" distR="0" wp14:anchorId="315CCA32" wp14:editId="0382205B">
            <wp:extent cx="6121400" cy="149161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1400" cy="1491615"/>
                    </a:xfrm>
                    <a:prstGeom prst="rect">
                      <a:avLst/>
                    </a:prstGeom>
                  </pic:spPr>
                </pic:pic>
              </a:graphicData>
            </a:graphic>
          </wp:inline>
        </w:drawing>
      </w:r>
    </w:p>
    <w:p w:rsidR="00BA6216" w:rsidRPr="00976417" w:rsidRDefault="00976417" w:rsidP="00976417">
      <w:pPr>
        <w:spacing w:after="60"/>
        <w:jc w:val="center"/>
        <w:rPr>
          <w:rFonts w:eastAsiaTheme="minorEastAsia"/>
        </w:rPr>
      </w:pPr>
      <w:r>
        <w:rPr>
          <w:rFonts w:eastAsiaTheme="minorEastAsia" w:hint="eastAsia"/>
        </w:rPr>
        <w:t>(</w:t>
      </w:r>
      <w:r>
        <w:rPr>
          <w:rFonts w:eastAsiaTheme="minorEastAsia"/>
        </w:rPr>
        <w:t>TS 38.101-1)</w:t>
      </w:r>
    </w:p>
    <w:p w:rsidR="00711F1E" w:rsidRDefault="00711F1E" w:rsidP="00711F1E">
      <w:pPr>
        <w:spacing w:after="60"/>
        <w:rPr>
          <w:b/>
        </w:rPr>
      </w:pPr>
      <w:r w:rsidRPr="00007DC9">
        <w:rPr>
          <w:rFonts w:hint="eastAsia"/>
          <w:b/>
          <w:u w:val="single"/>
        </w:rPr>
        <w:t>O</w:t>
      </w:r>
      <w:r>
        <w:rPr>
          <w:b/>
          <w:u w:val="single"/>
        </w:rPr>
        <w:t>bservation 5.</w:t>
      </w:r>
      <w:r w:rsidRPr="0068236F">
        <w:rPr>
          <w:b/>
        </w:rPr>
        <w:t xml:space="preserve">  </w:t>
      </w:r>
      <w:r>
        <w:rPr>
          <w:b/>
        </w:rPr>
        <w:t xml:space="preserve">If there is a symbol or abbreviation defined in clause 3, </w:t>
      </w:r>
      <w:r w:rsidR="004C5224">
        <w:rPr>
          <w:b/>
        </w:rPr>
        <w:t>the spec</w:t>
      </w:r>
      <w:r>
        <w:rPr>
          <w:b/>
        </w:rPr>
        <w:t xml:space="preserve"> should use it as much as possible.</w:t>
      </w:r>
    </w:p>
    <w:p w:rsidR="0099611E" w:rsidRDefault="0099611E" w:rsidP="00711F1E">
      <w:pPr>
        <w:spacing w:after="60"/>
        <w:rPr>
          <w:b/>
        </w:rPr>
      </w:pPr>
    </w:p>
    <w:p w:rsidR="00711F1E" w:rsidRDefault="004C5224" w:rsidP="00711F1E">
      <w:pPr>
        <w:spacing w:after="60"/>
        <w:rPr>
          <w:b/>
        </w:rPr>
      </w:pPr>
      <w:r w:rsidRPr="0099611E">
        <w:rPr>
          <w:b/>
          <w:u w:val="single"/>
        </w:rPr>
        <w:t>Proposal 2.</w:t>
      </w:r>
      <w:r w:rsidRPr="0099611E">
        <w:rPr>
          <w:b/>
        </w:rPr>
        <w:t xml:space="preserve">  To reduce the CA configuration table size, it is suggested to use “BW” for short</w:t>
      </w:r>
      <w:r w:rsidRPr="004C5224">
        <w:rPr>
          <w:b/>
        </w:rPr>
        <w:t xml:space="preserve"> </w:t>
      </w:r>
      <w:r w:rsidRPr="0099611E">
        <w:rPr>
          <w:b/>
        </w:rPr>
        <w:t xml:space="preserve">in </w:t>
      </w:r>
      <w:r>
        <w:rPr>
          <w:b/>
        </w:rPr>
        <w:t xml:space="preserve">the </w:t>
      </w:r>
      <w:r w:rsidRPr="0099611E">
        <w:rPr>
          <w:b/>
        </w:rPr>
        <w:t>table headings, instead of using “</w:t>
      </w:r>
      <w:proofErr w:type="spellStart"/>
      <w:r w:rsidRPr="0099611E">
        <w:rPr>
          <w:b/>
        </w:rPr>
        <w:t>BW</w:t>
      </w:r>
      <w:r w:rsidRPr="0099611E">
        <w:rPr>
          <w:b/>
          <w:vertAlign w:val="subscript"/>
        </w:rPr>
        <w:t>channel</w:t>
      </w:r>
      <w:proofErr w:type="spellEnd"/>
      <w:r w:rsidRPr="0099611E">
        <w:rPr>
          <w:b/>
        </w:rPr>
        <w:t>” or “Channel bandwidths for carrier”.</w:t>
      </w:r>
    </w:p>
    <w:p w:rsidR="00AA6AFB" w:rsidRDefault="00AA6AFB" w:rsidP="00711F1E">
      <w:pPr>
        <w:spacing w:after="60"/>
      </w:pPr>
    </w:p>
    <w:p w:rsidR="00711F1E" w:rsidRPr="00711F1E" w:rsidRDefault="00AA6AFB" w:rsidP="00711F1E">
      <w:pPr>
        <w:spacing w:after="60"/>
        <w:rPr>
          <w:b/>
        </w:rPr>
      </w:pPr>
      <w:r>
        <w:rPr>
          <w:lang w:val="en-US"/>
        </w:rPr>
        <w:t>Several CRs for the abbreviations for “channel bandwidth” are submitted as an example under this agenda.</w:t>
      </w:r>
    </w:p>
    <w:p w:rsidR="00BA6216" w:rsidRPr="00711F1E" w:rsidRDefault="00BA6216" w:rsidP="005D54B5">
      <w:pPr>
        <w:spacing w:after="60"/>
        <w:rPr>
          <w:rFonts w:eastAsia="MS Mincho"/>
          <w:lang w:eastAsia="ja-JP"/>
        </w:rPr>
      </w:pPr>
    </w:p>
    <w:p w:rsidR="00AA6AFB" w:rsidRPr="00563FB4" w:rsidRDefault="00AA6AFB" w:rsidP="00AA6AFB">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3. Conclusions</w:t>
      </w:r>
    </w:p>
    <w:p w:rsidR="0099611E" w:rsidRDefault="0099611E" w:rsidP="0099611E">
      <w:r>
        <w:t>In this paper, we discuss the usage of notes, symbols and abbreviation for spec improvement. The following observations and proposals are provided.</w:t>
      </w:r>
    </w:p>
    <w:p w:rsidR="0099611E" w:rsidRDefault="0099611E" w:rsidP="0099611E">
      <w:pPr>
        <w:spacing w:after="60"/>
        <w:rPr>
          <w:b/>
        </w:rPr>
      </w:pPr>
      <w:r w:rsidRPr="00007DC9">
        <w:rPr>
          <w:rFonts w:hint="eastAsia"/>
          <w:b/>
          <w:u w:val="single"/>
        </w:rPr>
        <w:t>O</w:t>
      </w:r>
      <w:r>
        <w:rPr>
          <w:b/>
          <w:u w:val="single"/>
        </w:rPr>
        <w:t>bservation 1.</w:t>
      </w:r>
      <w:r w:rsidRPr="0068236F">
        <w:rPr>
          <w:b/>
        </w:rPr>
        <w:t xml:space="preserve">  </w:t>
      </w:r>
      <w:r>
        <w:rPr>
          <w:b/>
        </w:rPr>
        <w:t xml:space="preserve">It is observed that the existing notes in current </w:t>
      </w:r>
      <w:r w:rsidR="00A32543">
        <w:rPr>
          <w:b/>
        </w:rPr>
        <w:t>spec</w:t>
      </w:r>
      <w:r>
        <w:rPr>
          <w:b/>
        </w:rPr>
        <w:t xml:space="preserve"> should not be moved outside the table due to the issues of large number of “void” notes and external references to the notes outside of RAN4.</w:t>
      </w:r>
    </w:p>
    <w:p w:rsidR="0099611E" w:rsidRDefault="0099611E" w:rsidP="0099611E">
      <w:pPr>
        <w:spacing w:after="60"/>
        <w:rPr>
          <w:b/>
        </w:rPr>
      </w:pPr>
      <w:r w:rsidRPr="00007DC9">
        <w:rPr>
          <w:rFonts w:hint="eastAsia"/>
          <w:b/>
          <w:u w:val="single"/>
        </w:rPr>
        <w:t>O</w:t>
      </w:r>
      <w:r>
        <w:rPr>
          <w:b/>
          <w:u w:val="single"/>
        </w:rPr>
        <w:t>bservation 2.</w:t>
      </w:r>
      <w:r w:rsidRPr="0068236F">
        <w:rPr>
          <w:b/>
        </w:rPr>
        <w:t xml:space="preserve">  </w:t>
      </w:r>
      <w:r>
        <w:rPr>
          <w:b/>
        </w:rPr>
        <w:t>In future, if similar notes are to be introduced into a table, a more generic note should be adapt</w:t>
      </w:r>
      <w:r w:rsidR="004C5224">
        <w:rPr>
          <w:b/>
        </w:rPr>
        <w:t>ed</w:t>
      </w:r>
      <w:r>
        <w:rPr>
          <w:b/>
        </w:rPr>
        <w:t xml:space="preserve"> to all the similar notes.</w:t>
      </w:r>
    </w:p>
    <w:p w:rsidR="0099611E" w:rsidRDefault="0099611E" w:rsidP="0099611E">
      <w:pPr>
        <w:spacing w:after="60"/>
        <w:rPr>
          <w:b/>
        </w:rPr>
      </w:pPr>
      <w:r w:rsidRPr="00007DC9">
        <w:rPr>
          <w:rFonts w:hint="eastAsia"/>
          <w:b/>
          <w:u w:val="single"/>
        </w:rPr>
        <w:t>O</w:t>
      </w:r>
      <w:r>
        <w:rPr>
          <w:b/>
          <w:u w:val="single"/>
        </w:rPr>
        <w:t>bservation 3.</w:t>
      </w:r>
      <w:r w:rsidRPr="0068236F">
        <w:rPr>
          <w:b/>
        </w:rPr>
        <w:t xml:space="preserve">  </w:t>
      </w:r>
      <w:r>
        <w:rPr>
          <w:b/>
        </w:rPr>
        <w:t>If a new note is relevant to a symbol or an abbreviation, an overview of clause 3 should be made to avoid redundant.</w:t>
      </w:r>
    </w:p>
    <w:p w:rsidR="0099611E" w:rsidRDefault="0099611E" w:rsidP="0099611E">
      <w:pPr>
        <w:spacing w:after="60"/>
        <w:rPr>
          <w:b/>
        </w:rPr>
      </w:pPr>
      <w:r w:rsidRPr="00007DC9">
        <w:rPr>
          <w:rFonts w:hint="eastAsia"/>
          <w:b/>
          <w:u w:val="single"/>
        </w:rPr>
        <w:t>O</w:t>
      </w:r>
      <w:r>
        <w:rPr>
          <w:b/>
          <w:u w:val="single"/>
        </w:rPr>
        <w:t>bservation 4.</w:t>
      </w:r>
      <w:r w:rsidRPr="0068236F">
        <w:rPr>
          <w:b/>
        </w:rPr>
        <w:t xml:space="preserve">  </w:t>
      </w:r>
      <w:r>
        <w:rPr>
          <w:b/>
        </w:rPr>
        <w:t xml:space="preserve">If a NOTE indication is far away from the definition, a solution of using hyperlink could be used to </w:t>
      </w:r>
      <w:r w:rsidR="004C5224">
        <w:rPr>
          <w:b/>
        </w:rPr>
        <w:t>point</w:t>
      </w:r>
      <w:r>
        <w:rPr>
          <w:b/>
        </w:rPr>
        <w:t xml:space="preserve"> </w:t>
      </w:r>
      <w:r w:rsidR="004C5224">
        <w:rPr>
          <w:b/>
        </w:rPr>
        <w:t xml:space="preserve">to </w:t>
      </w:r>
      <w:r>
        <w:rPr>
          <w:b/>
        </w:rPr>
        <w:t xml:space="preserve">the NOTE </w:t>
      </w:r>
      <w:r w:rsidR="004C5224">
        <w:rPr>
          <w:b/>
        </w:rPr>
        <w:t>directly</w:t>
      </w:r>
      <w:r>
        <w:rPr>
          <w:b/>
        </w:rPr>
        <w:t>.</w:t>
      </w:r>
    </w:p>
    <w:p w:rsidR="0099611E" w:rsidRDefault="0099611E" w:rsidP="0099611E">
      <w:pPr>
        <w:spacing w:after="60"/>
      </w:pPr>
      <w:r>
        <w:rPr>
          <w:b/>
          <w:u w:val="single"/>
        </w:rPr>
        <w:t>Proposal 1.</w:t>
      </w:r>
      <w:r w:rsidRPr="0068236F">
        <w:rPr>
          <w:b/>
        </w:rPr>
        <w:t xml:space="preserve">  </w:t>
      </w:r>
      <w:r>
        <w:rPr>
          <w:b/>
        </w:rPr>
        <w:t>It is proposed to capture the following drafting rules for NOTEs into the PRD.</w:t>
      </w:r>
    </w:p>
    <w:p w:rsidR="0099611E" w:rsidRDefault="0099611E" w:rsidP="0099611E">
      <w:pPr>
        <w:pStyle w:val="a3"/>
        <w:numPr>
          <w:ilvl w:val="1"/>
          <w:numId w:val="49"/>
        </w:numPr>
        <w:ind w:left="709" w:hanging="305"/>
        <w:rPr>
          <w:b/>
        </w:rPr>
      </w:pPr>
      <w:r>
        <w:rPr>
          <w:b/>
        </w:rPr>
        <w:t>For the existing notes in table in current spec, the notes should not be moved outside the table due to the issues of large number of “void” notes and external references to the notes outside of RAN4.</w:t>
      </w:r>
    </w:p>
    <w:p w:rsidR="0099611E" w:rsidRPr="00C301E0" w:rsidRDefault="0099611E" w:rsidP="0099611E">
      <w:pPr>
        <w:pStyle w:val="a3"/>
        <w:numPr>
          <w:ilvl w:val="1"/>
          <w:numId w:val="49"/>
        </w:numPr>
        <w:ind w:left="709" w:hanging="305"/>
        <w:rPr>
          <w:b/>
        </w:rPr>
      </w:pPr>
      <w:r>
        <w:rPr>
          <w:b/>
        </w:rPr>
        <w:t xml:space="preserve">For future notes in table, </w:t>
      </w:r>
    </w:p>
    <w:p w:rsidR="0099611E" w:rsidRDefault="0099611E" w:rsidP="0099611E">
      <w:pPr>
        <w:pStyle w:val="a3"/>
        <w:numPr>
          <w:ilvl w:val="2"/>
          <w:numId w:val="49"/>
        </w:numPr>
        <w:ind w:left="1276" w:hanging="382"/>
        <w:rPr>
          <w:b/>
        </w:rPr>
      </w:pPr>
      <w:r w:rsidRPr="00C301E0">
        <w:rPr>
          <w:b/>
        </w:rPr>
        <w:t xml:space="preserve">Do not use </w:t>
      </w:r>
      <w:r>
        <w:rPr>
          <w:b/>
        </w:rPr>
        <w:t>NOTE</w:t>
      </w:r>
      <w:r w:rsidRPr="00C301E0">
        <w:rPr>
          <w:b/>
        </w:rPr>
        <w:t xml:space="preserve">s in tables for requirements that apply every cell/line </w:t>
      </w:r>
      <w:r w:rsidRPr="00407E5F">
        <w:rPr>
          <w:b/>
        </w:rPr>
        <w:t>or general requirements</w:t>
      </w:r>
      <w:r w:rsidRPr="00C301E0">
        <w:rPr>
          <w:b/>
        </w:rPr>
        <w:t xml:space="preserve"> in the table. Use text above the table instead</w:t>
      </w:r>
      <w:r>
        <w:rPr>
          <w:b/>
        </w:rPr>
        <w:t>.</w:t>
      </w:r>
    </w:p>
    <w:p w:rsidR="0099611E" w:rsidRDefault="0099611E" w:rsidP="0099611E">
      <w:pPr>
        <w:pStyle w:val="a3"/>
        <w:numPr>
          <w:ilvl w:val="2"/>
          <w:numId w:val="49"/>
        </w:numPr>
        <w:ind w:left="1276" w:hanging="382"/>
        <w:rPr>
          <w:b/>
        </w:rPr>
      </w:pPr>
      <w:r>
        <w:rPr>
          <w:b/>
        </w:rPr>
        <w:t>If similar notes are to be introduced into a table, a more generic note description should be considered.</w:t>
      </w:r>
    </w:p>
    <w:p w:rsidR="0099611E" w:rsidRDefault="0099611E" w:rsidP="0099611E">
      <w:pPr>
        <w:pStyle w:val="a3"/>
        <w:numPr>
          <w:ilvl w:val="2"/>
          <w:numId w:val="49"/>
        </w:numPr>
        <w:ind w:left="1276" w:hanging="382"/>
        <w:rPr>
          <w:b/>
        </w:rPr>
      </w:pPr>
      <w:r>
        <w:rPr>
          <w:b/>
        </w:rPr>
        <w:t>If a note is relevant to a symbol or an abbreviation, an overview of clause 3 should be made to avoid redundant.</w:t>
      </w:r>
    </w:p>
    <w:p w:rsidR="0099611E" w:rsidRPr="00C301E0" w:rsidRDefault="0099611E" w:rsidP="0099611E">
      <w:pPr>
        <w:pStyle w:val="a3"/>
        <w:numPr>
          <w:ilvl w:val="2"/>
          <w:numId w:val="49"/>
        </w:numPr>
        <w:ind w:left="1276" w:hanging="382"/>
        <w:rPr>
          <w:b/>
        </w:rPr>
      </w:pPr>
      <w:r>
        <w:rPr>
          <w:b/>
        </w:rPr>
        <w:t>If a NOTE indication is far away from the definition, a solution of using hyperlink is suggested to be used.</w:t>
      </w:r>
    </w:p>
    <w:p w:rsidR="0099611E" w:rsidRPr="0099611E" w:rsidRDefault="0099611E" w:rsidP="0099611E">
      <w:pPr>
        <w:pStyle w:val="a3"/>
        <w:numPr>
          <w:ilvl w:val="0"/>
          <w:numId w:val="49"/>
        </w:numPr>
        <w:spacing w:after="60"/>
        <w:rPr>
          <w:b/>
        </w:rPr>
      </w:pPr>
      <w:r w:rsidRPr="0099611E">
        <w:rPr>
          <w:rFonts w:hint="eastAsia"/>
          <w:b/>
          <w:u w:val="single"/>
        </w:rPr>
        <w:t>O</w:t>
      </w:r>
      <w:r w:rsidRPr="0099611E">
        <w:rPr>
          <w:b/>
          <w:u w:val="single"/>
        </w:rPr>
        <w:t>bservation 5.</w:t>
      </w:r>
      <w:r w:rsidRPr="0099611E">
        <w:rPr>
          <w:b/>
        </w:rPr>
        <w:t xml:space="preserve">  If there is a symbol or abbreviation defined in clause 3, </w:t>
      </w:r>
      <w:r w:rsidR="004C5224">
        <w:rPr>
          <w:b/>
        </w:rPr>
        <w:t>the spec</w:t>
      </w:r>
      <w:r w:rsidRPr="0099611E">
        <w:rPr>
          <w:b/>
        </w:rPr>
        <w:t xml:space="preserve"> should use it as much as possible.</w:t>
      </w:r>
    </w:p>
    <w:p w:rsidR="0099611E" w:rsidRPr="0099611E" w:rsidRDefault="0099611E" w:rsidP="0099611E">
      <w:pPr>
        <w:pStyle w:val="a3"/>
        <w:numPr>
          <w:ilvl w:val="0"/>
          <w:numId w:val="49"/>
        </w:numPr>
        <w:spacing w:after="60"/>
        <w:rPr>
          <w:b/>
        </w:rPr>
      </w:pPr>
      <w:r w:rsidRPr="0099611E">
        <w:rPr>
          <w:b/>
          <w:u w:val="single"/>
        </w:rPr>
        <w:t>Proposal 2.</w:t>
      </w:r>
      <w:r w:rsidRPr="0099611E">
        <w:rPr>
          <w:b/>
        </w:rPr>
        <w:t xml:space="preserve">  To reduce the CA configuration table size, it is suggested to use “BW” for short</w:t>
      </w:r>
      <w:r w:rsidR="004C5224" w:rsidRPr="004C5224">
        <w:rPr>
          <w:b/>
        </w:rPr>
        <w:t xml:space="preserve"> </w:t>
      </w:r>
      <w:r w:rsidR="004C5224" w:rsidRPr="0099611E">
        <w:rPr>
          <w:b/>
        </w:rPr>
        <w:t xml:space="preserve">in </w:t>
      </w:r>
      <w:r w:rsidR="004C5224">
        <w:rPr>
          <w:b/>
        </w:rPr>
        <w:t xml:space="preserve">the </w:t>
      </w:r>
      <w:r w:rsidR="004C5224" w:rsidRPr="0099611E">
        <w:rPr>
          <w:b/>
        </w:rPr>
        <w:t>table headings</w:t>
      </w:r>
      <w:r w:rsidRPr="0099611E">
        <w:rPr>
          <w:b/>
        </w:rPr>
        <w:t>, instead of using “</w:t>
      </w:r>
      <w:proofErr w:type="spellStart"/>
      <w:r w:rsidRPr="0099611E">
        <w:rPr>
          <w:b/>
        </w:rPr>
        <w:t>BW</w:t>
      </w:r>
      <w:r w:rsidRPr="0099611E">
        <w:rPr>
          <w:b/>
          <w:vertAlign w:val="subscript"/>
        </w:rPr>
        <w:t>channel</w:t>
      </w:r>
      <w:proofErr w:type="spellEnd"/>
      <w:r w:rsidRPr="0099611E">
        <w:rPr>
          <w:b/>
        </w:rPr>
        <w:t>” or “Channel bandwidths for carrier”.</w:t>
      </w:r>
    </w:p>
    <w:p w:rsidR="00AA6AFB" w:rsidRPr="0099611E" w:rsidRDefault="00AA6AFB" w:rsidP="005D54B5">
      <w:pPr>
        <w:spacing w:after="60"/>
        <w:rPr>
          <w:lang w:val="en-US"/>
        </w:rPr>
      </w:pPr>
    </w:p>
    <w:p w:rsidR="003F4A91" w:rsidRPr="005D54B5" w:rsidRDefault="003F4A91" w:rsidP="008D2F31">
      <w:pPr>
        <w:rPr>
          <w:lang w:val="en-US"/>
        </w:rPr>
      </w:pPr>
    </w:p>
    <w:p w:rsidR="00E953B2" w:rsidRPr="00563FB4" w:rsidRDefault="00C744EB"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4. </w:t>
      </w:r>
      <w:r w:rsidR="00E953B2" w:rsidRPr="00563FB4">
        <w:rPr>
          <w:rFonts w:ascii="Arial" w:hAnsi="Arial"/>
          <w:sz w:val="36"/>
          <w:lang w:eastAsia="ja-JP"/>
        </w:rPr>
        <w:t>References</w:t>
      </w:r>
    </w:p>
    <w:p w:rsidR="003A1C4F" w:rsidRDefault="003A1C4F" w:rsidP="003A1C4F">
      <w:pPr>
        <w:pStyle w:val="EX"/>
        <w:widowControl w:val="0"/>
        <w:numPr>
          <w:ilvl w:val="0"/>
          <w:numId w:val="22"/>
        </w:numPr>
        <w:suppressAutoHyphens w:val="0"/>
        <w:autoSpaceDN w:val="0"/>
        <w:adjustRightInd w:val="0"/>
        <w:spacing w:before="100" w:beforeAutospacing="1"/>
        <w:rPr>
          <w:lang w:eastAsia="zh-CN"/>
        </w:rPr>
      </w:pPr>
      <w:r>
        <w:rPr>
          <w:rFonts w:hint="eastAsia"/>
          <w:lang w:eastAsia="zh-CN"/>
        </w:rPr>
        <w:t>R</w:t>
      </w:r>
      <w:r>
        <w:rPr>
          <w:lang w:eastAsia="zh-CN"/>
        </w:rPr>
        <w:t>4-24</w:t>
      </w:r>
      <w:r w:rsidR="00602831">
        <w:rPr>
          <w:lang w:eastAsia="zh-CN"/>
        </w:rPr>
        <w:t>17182, WF on UE RF spec improvement</w:t>
      </w:r>
      <w:r>
        <w:rPr>
          <w:lang w:eastAsia="zh-CN"/>
        </w:rPr>
        <w:t xml:space="preserve">, </w:t>
      </w:r>
      <w:r w:rsidR="00602831">
        <w:rPr>
          <w:lang w:eastAsia="zh-CN"/>
        </w:rPr>
        <w:t>Qualcomm</w:t>
      </w:r>
      <w:r>
        <w:rPr>
          <w:lang w:eastAsia="zh-CN"/>
        </w:rPr>
        <w:t>.</w:t>
      </w:r>
    </w:p>
    <w:p w:rsidR="003B0CAC" w:rsidRPr="00AD503A" w:rsidRDefault="00F753B0" w:rsidP="003A1C4F">
      <w:pPr>
        <w:pStyle w:val="EX"/>
        <w:widowControl w:val="0"/>
        <w:numPr>
          <w:ilvl w:val="0"/>
          <w:numId w:val="22"/>
        </w:numPr>
        <w:suppressAutoHyphens w:val="0"/>
        <w:autoSpaceDN w:val="0"/>
        <w:adjustRightInd w:val="0"/>
        <w:spacing w:before="100" w:beforeAutospacing="1"/>
        <w:rPr>
          <w:lang w:eastAsia="zh-CN"/>
        </w:rPr>
      </w:pPr>
      <w:r w:rsidRPr="00291370">
        <w:rPr>
          <w:rFonts w:eastAsiaTheme="minorEastAsia"/>
          <w:lang w:eastAsia="zh-CN"/>
        </w:rPr>
        <w:t>R4-2412482</w:t>
      </w:r>
      <w:r>
        <w:rPr>
          <w:rFonts w:eastAsiaTheme="minorEastAsia"/>
          <w:lang w:eastAsia="zh-CN"/>
        </w:rPr>
        <w:t xml:space="preserve">, </w:t>
      </w:r>
      <w:r w:rsidRPr="00291370">
        <w:rPr>
          <w:rFonts w:eastAsiaTheme="minorEastAsia"/>
          <w:lang w:eastAsia="zh-CN"/>
        </w:rPr>
        <w:t>RF specification quality improvement</w:t>
      </w:r>
      <w:r>
        <w:rPr>
          <w:rFonts w:eastAsiaTheme="minorEastAsia"/>
          <w:lang w:eastAsia="zh-CN"/>
        </w:rPr>
        <w:t xml:space="preserve">, </w:t>
      </w:r>
      <w:r w:rsidRPr="00291370">
        <w:rPr>
          <w:rFonts w:eastAsiaTheme="minorEastAsia"/>
          <w:lang w:eastAsia="zh-CN"/>
        </w:rPr>
        <w:t>Anritsu Limited</w:t>
      </w:r>
    </w:p>
    <w:p w:rsidR="00AD503A" w:rsidRDefault="00AD503A" w:rsidP="003A1C4F">
      <w:pPr>
        <w:pStyle w:val="EX"/>
        <w:widowControl w:val="0"/>
        <w:numPr>
          <w:ilvl w:val="0"/>
          <w:numId w:val="22"/>
        </w:numPr>
        <w:suppressAutoHyphens w:val="0"/>
        <w:autoSpaceDN w:val="0"/>
        <w:adjustRightInd w:val="0"/>
        <w:spacing w:before="100" w:beforeAutospacing="1"/>
        <w:rPr>
          <w:rFonts w:eastAsiaTheme="minorEastAsia"/>
          <w:lang w:eastAsia="zh-CN"/>
        </w:rPr>
      </w:pPr>
      <w:r>
        <w:rPr>
          <w:rFonts w:eastAsiaTheme="minorEastAsia"/>
          <w:lang w:eastAsia="zh-CN"/>
        </w:rPr>
        <w:t xml:space="preserve">R4-2416105, </w:t>
      </w:r>
      <w:r w:rsidRPr="00AD503A">
        <w:rPr>
          <w:rFonts w:eastAsiaTheme="minorEastAsia" w:hint="eastAsia"/>
          <w:lang w:eastAsia="zh-CN"/>
        </w:rPr>
        <w:t>C</w:t>
      </w:r>
      <w:r w:rsidRPr="00AD503A">
        <w:rPr>
          <w:rFonts w:eastAsiaTheme="minorEastAsia"/>
          <w:lang w:eastAsia="zh-CN"/>
        </w:rPr>
        <w:t>onsiderations on NOTEs usage for spec quality improvement, ZTE</w:t>
      </w:r>
    </w:p>
    <w:p w:rsidR="00130DBB" w:rsidRPr="00AD503A" w:rsidRDefault="00130DBB" w:rsidP="003A1C4F">
      <w:pPr>
        <w:pStyle w:val="EX"/>
        <w:widowControl w:val="0"/>
        <w:numPr>
          <w:ilvl w:val="0"/>
          <w:numId w:val="22"/>
        </w:numPr>
        <w:suppressAutoHyphens w:val="0"/>
        <w:autoSpaceDN w:val="0"/>
        <w:adjustRightInd w:val="0"/>
        <w:spacing w:before="100" w:beforeAutospacing="1"/>
        <w:rPr>
          <w:rFonts w:eastAsiaTheme="minorEastAsia"/>
          <w:lang w:eastAsia="zh-CN"/>
        </w:rPr>
      </w:pPr>
      <w:r>
        <w:rPr>
          <w:rFonts w:eastAsiaTheme="minorEastAsia"/>
          <w:lang w:eastAsia="zh-CN"/>
        </w:rPr>
        <w:t xml:space="preserve">R4-2414927, </w:t>
      </w:r>
      <w:r w:rsidRPr="00130DBB">
        <w:rPr>
          <w:rFonts w:eastAsiaTheme="minorEastAsia"/>
          <w:lang w:eastAsia="zh-CN"/>
        </w:rPr>
        <w:t xml:space="preserve">Miscellaneous proposals on spec quality improvement, Huawei, </w:t>
      </w:r>
      <w:proofErr w:type="spellStart"/>
      <w:r w:rsidRPr="00130DBB">
        <w:rPr>
          <w:rFonts w:eastAsiaTheme="minorEastAsia"/>
          <w:lang w:eastAsia="zh-CN"/>
        </w:rPr>
        <w:t>HiSilicon</w:t>
      </w:r>
      <w:proofErr w:type="spellEnd"/>
    </w:p>
    <w:sectPr w:rsidR="00130DBB" w:rsidRPr="00AD503A">
      <w:footerReference w:type="default" r:id="rId1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4EC" w:rsidRDefault="002C74EC">
      <w:pPr>
        <w:spacing w:after="0"/>
      </w:pPr>
      <w:r>
        <w:separator/>
      </w:r>
    </w:p>
  </w:endnote>
  <w:endnote w:type="continuationSeparator" w:id="0">
    <w:p w:rsidR="002C74EC" w:rsidRDefault="002C74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417" w:rsidRDefault="00976417">
    <w:pPr>
      <w:pStyle w:val="af3"/>
    </w:pPr>
  </w:p>
  <w:p w:rsidR="00976417" w:rsidRDefault="00976417"/>
  <w:p w:rsidR="00976417" w:rsidRDefault="00976417">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DB6119">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DB6119">
      <w:rPr>
        <w:b w:val="0"/>
        <w:bCs/>
        <w:noProof/>
        <w:sz w:val="24"/>
        <w:szCs w:val="24"/>
      </w:rPr>
      <w:t>5</w:t>
    </w:r>
    <w:r>
      <w:rPr>
        <w:b w:val="0"/>
        <w:bCs/>
        <w:sz w:val="24"/>
        <w:szCs w:val="24"/>
      </w:rPr>
      <w:fldChar w:fldCharType="end"/>
    </w:r>
  </w:p>
  <w:p w:rsidR="00976417" w:rsidRDefault="00976417">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4EC" w:rsidRDefault="002C74EC">
      <w:pPr>
        <w:spacing w:after="0"/>
      </w:pPr>
      <w:r>
        <w:separator/>
      </w:r>
    </w:p>
  </w:footnote>
  <w:footnote w:type="continuationSeparator" w:id="0">
    <w:p w:rsidR="002C74EC" w:rsidRDefault="002C74E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
      </v:shape>
    </w:pict>
  </w:numPicBullet>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2" w15:restartNumberingAfterBreak="0">
    <w:nsid w:val="0EDF3F71"/>
    <w:multiLevelType w:val="hybridMultilevel"/>
    <w:tmpl w:val="4332465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BD6237"/>
    <w:multiLevelType w:val="hybridMultilevel"/>
    <w:tmpl w:val="5BC8A0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7125D0"/>
    <w:multiLevelType w:val="hybridMultilevel"/>
    <w:tmpl w:val="A6580A44"/>
    <w:lvl w:ilvl="0" w:tplc="04190003">
      <w:start w:val="1"/>
      <w:numFmt w:val="bullet"/>
      <w:lvlText w:val="o"/>
      <w:lvlJc w:val="left"/>
      <w:pPr>
        <w:ind w:left="1656" w:hanging="360"/>
      </w:pPr>
      <w:rPr>
        <w:rFonts w:ascii="Courier New" w:hAnsi="Courier New" w:cs="Courier New"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454489"/>
    <w:multiLevelType w:val="hybridMultilevel"/>
    <w:tmpl w:val="081677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5177D3D"/>
    <w:multiLevelType w:val="multilevel"/>
    <w:tmpl w:val="CEBC9D2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33"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0E7582"/>
    <w:multiLevelType w:val="hybridMultilevel"/>
    <w:tmpl w:val="BEF0B0B8"/>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15:restartNumberingAfterBreak="0">
    <w:nsid w:val="5E663C85"/>
    <w:multiLevelType w:val="multilevel"/>
    <w:tmpl w:val="5E663C85"/>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6"/>
  </w:num>
  <w:num w:numId="20">
    <w:abstractNumId w:val="41"/>
  </w:num>
  <w:num w:numId="21">
    <w:abstractNumId w:val="32"/>
  </w:num>
  <w:num w:numId="22">
    <w:abstractNumId w:val="19"/>
  </w:num>
  <w:num w:numId="23">
    <w:abstractNumId w:val="40"/>
  </w:num>
  <w:num w:numId="24">
    <w:abstractNumId w:val="47"/>
  </w:num>
  <w:num w:numId="25">
    <w:abstractNumId w:val="24"/>
  </w:num>
  <w:num w:numId="26">
    <w:abstractNumId w:val="35"/>
  </w:num>
  <w:num w:numId="27">
    <w:abstractNumId w:val="31"/>
  </w:num>
  <w:num w:numId="28">
    <w:abstractNumId w:val="45"/>
  </w:num>
  <w:num w:numId="29">
    <w:abstractNumId w:val="48"/>
  </w:num>
  <w:num w:numId="30">
    <w:abstractNumId w:val="29"/>
  </w:num>
  <w:num w:numId="31">
    <w:abstractNumId w:val="0"/>
  </w:num>
  <w:num w:numId="32">
    <w:abstractNumId w:val="44"/>
  </w:num>
  <w:num w:numId="33">
    <w:abstractNumId w:val="25"/>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7"/>
  </w:num>
  <w:num w:numId="37">
    <w:abstractNumId w:val="34"/>
  </w:num>
  <w:num w:numId="38">
    <w:abstractNumId w:val="38"/>
  </w:num>
  <w:num w:numId="39">
    <w:abstractNumId w:val="33"/>
  </w:num>
  <w:num w:numId="40">
    <w:abstractNumId w:val="22"/>
  </w:num>
  <w:num w:numId="41">
    <w:abstractNumId w:val="42"/>
  </w:num>
  <w:num w:numId="42">
    <w:abstractNumId w:val="36"/>
  </w:num>
  <w:num w:numId="43">
    <w:abstractNumId w:val="26"/>
  </w:num>
  <w:num w:numId="44">
    <w:abstractNumId w:val="42"/>
  </w:num>
  <w:num w:numId="45">
    <w:abstractNumId w:val="46"/>
  </w:num>
  <w:num w:numId="46">
    <w:abstractNumId w:val="27"/>
  </w:num>
  <w:num w:numId="47">
    <w:abstractNumId w:val="23"/>
  </w:num>
  <w:num w:numId="48">
    <w:abstractNumId w:val="28"/>
  </w:num>
  <w:num w:numId="49">
    <w:abstractNumId w:val="39"/>
  </w:num>
  <w:num w:numId="50">
    <w:abstractNumId w:val="21"/>
  </w:num>
  <w:num w:numId="51">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08FE"/>
    <w:rsid w:val="00001244"/>
    <w:rsid w:val="00002233"/>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4E25"/>
    <w:rsid w:val="00025C0A"/>
    <w:rsid w:val="00026288"/>
    <w:rsid w:val="0002666A"/>
    <w:rsid w:val="0002702B"/>
    <w:rsid w:val="0002795C"/>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0A9B"/>
    <w:rsid w:val="000611DD"/>
    <w:rsid w:val="00061D80"/>
    <w:rsid w:val="00062173"/>
    <w:rsid w:val="00062C8D"/>
    <w:rsid w:val="00062EAC"/>
    <w:rsid w:val="0006432C"/>
    <w:rsid w:val="00064C16"/>
    <w:rsid w:val="000650D0"/>
    <w:rsid w:val="0007009F"/>
    <w:rsid w:val="000714D5"/>
    <w:rsid w:val="00071E1B"/>
    <w:rsid w:val="00074181"/>
    <w:rsid w:val="00074AC8"/>
    <w:rsid w:val="00075D3B"/>
    <w:rsid w:val="00076868"/>
    <w:rsid w:val="00076A23"/>
    <w:rsid w:val="00076D61"/>
    <w:rsid w:val="00076E28"/>
    <w:rsid w:val="00077D2F"/>
    <w:rsid w:val="0008083A"/>
    <w:rsid w:val="000825B6"/>
    <w:rsid w:val="000857B5"/>
    <w:rsid w:val="00086482"/>
    <w:rsid w:val="00086827"/>
    <w:rsid w:val="00086FC3"/>
    <w:rsid w:val="00087FF4"/>
    <w:rsid w:val="00090986"/>
    <w:rsid w:val="00091649"/>
    <w:rsid w:val="00091E93"/>
    <w:rsid w:val="00092B90"/>
    <w:rsid w:val="00094DB0"/>
    <w:rsid w:val="00096A30"/>
    <w:rsid w:val="00096A6F"/>
    <w:rsid w:val="00096B7A"/>
    <w:rsid w:val="00097085"/>
    <w:rsid w:val="000A004F"/>
    <w:rsid w:val="000A069F"/>
    <w:rsid w:val="000A2C1E"/>
    <w:rsid w:val="000A36DD"/>
    <w:rsid w:val="000A4481"/>
    <w:rsid w:val="000A4C8D"/>
    <w:rsid w:val="000A7DD3"/>
    <w:rsid w:val="000B00C7"/>
    <w:rsid w:val="000B099C"/>
    <w:rsid w:val="000B18E4"/>
    <w:rsid w:val="000B6B08"/>
    <w:rsid w:val="000B712D"/>
    <w:rsid w:val="000B7375"/>
    <w:rsid w:val="000B7BB4"/>
    <w:rsid w:val="000B7D0B"/>
    <w:rsid w:val="000C4006"/>
    <w:rsid w:val="000C5594"/>
    <w:rsid w:val="000C6491"/>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4B5"/>
    <w:rsid w:val="000E3697"/>
    <w:rsid w:val="000E4B23"/>
    <w:rsid w:val="000E4B84"/>
    <w:rsid w:val="000E4F7A"/>
    <w:rsid w:val="000E5E31"/>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0D3"/>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3848"/>
    <w:rsid w:val="00127AB8"/>
    <w:rsid w:val="00130DBB"/>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2002"/>
    <w:rsid w:val="00142E1C"/>
    <w:rsid w:val="00143A5C"/>
    <w:rsid w:val="00145437"/>
    <w:rsid w:val="001456D9"/>
    <w:rsid w:val="00145A4F"/>
    <w:rsid w:val="00145AC0"/>
    <w:rsid w:val="00146807"/>
    <w:rsid w:val="00146BFB"/>
    <w:rsid w:val="00150011"/>
    <w:rsid w:val="00151B3C"/>
    <w:rsid w:val="00151B66"/>
    <w:rsid w:val="00152FD5"/>
    <w:rsid w:val="00155018"/>
    <w:rsid w:val="00155308"/>
    <w:rsid w:val="0015530B"/>
    <w:rsid w:val="0015669C"/>
    <w:rsid w:val="001579C2"/>
    <w:rsid w:val="00157F10"/>
    <w:rsid w:val="0016159A"/>
    <w:rsid w:val="00161C65"/>
    <w:rsid w:val="001620E1"/>
    <w:rsid w:val="00162E67"/>
    <w:rsid w:val="001635B6"/>
    <w:rsid w:val="00163796"/>
    <w:rsid w:val="001642A4"/>
    <w:rsid w:val="0016442B"/>
    <w:rsid w:val="001649BF"/>
    <w:rsid w:val="00164F52"/>
    <w:rsid w:val="001654E3"/>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225A"/>
    <w:rsid w:val="001934CE"/>
    <w:rsid w:val="0019377A"/>
    <w:rsid w:val="0019409C"/>
    <w:rsid w:val="00194251"/>
    <w:rsid w:val="00194ADF"/>
    <w:rsid w:val="0019571A"/>
    <w:rsid w:val="00195F5D"/>
    <w:rsid w:val="00197AFC"/>
    <w:rsid w:val="001A0782"/>
    <w:rsid w:val="001A13FB"/>
    <w:rsid w:val="001A2BAF"/>
    <w:rsid w:val="001A2E80"/>
    <w:rsid w:val="001A3FBA"/>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0C31"/>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990"/>
    <w:rsid w:val="001F1DFC"/>
    <w:rsid w:val="001F342F"/>
    <w:rsid w:val="001F73AD"/>
    <w:rsid w:val="001F7747"/>
    <w:rsid w:val="001F7B69"/>
    <w:rsid w:val="00200BF2"/>
    <w:rsid w:val="002038BE"/>
    <w:rsid w:val="00203CDB"/>
    <w:rsid w:val="00203EDD"/>
    <w:rsid w:val="00204586"/>
    <w:rsid w:val="00205093"/>
    <w:rsid w:val="0020558E"/>
    <w:rsid w:val="00205A2C"/>
    <w:rsid w:val="00207725"/>
    <w:rsid w:val="00210F4D"/>
    <w:rsid w:val="002116BA"/>
    <w:rsid w:val="00212318"/>
    <w:rsid w:val="00212EC4"/>
    <w:rsid w:val="00214876"/>
    <w:rsid w:val="0021529C"/>
    <w:rsid w:val="00215E24"/>
    <w:rsid w:val="00216235"/>
    <w:rsid w:val="002177D1"/>
    <w:rsid w:val="00217CB1"/>
    <w:rsid w:val="00220292"/>
    <w:rsid w:val="0022099F"/>
    <w:rsid w:val="00223C89"/>
    <w:rsid w:val="00223D78"/>
    <w:rsid w:val="00225450"/>
    <w:rsid w:val="0022640E"/>
    <w:rsid w:val="00226A6C"/>
    <w:rsid w:val="002272D4"/>
    <w:rsid w:val="00227E84"/>
    <w:rsid w:val="002300B8"/>
    <w:rsid w:val="0023052F"/>
    <w:rsid w:val="00231697"/>
    <w:rsid w:val="002329CF"/>
    <w:rsid w:val="00232E98"/>
    <w:rsid w:val="00234426"/>
    <w:rsid w:val="00234DC7"/>
    <w:rsid w:val="00235929"/>
    <w:rsid w:val="00235C72"/>
    <w:rsid w:val="00236A3D"/>
    <w:rsid w:val="00236AB7"/>
    <w:rsid w:val="002375FF"/>
    <w:rsid w:val="00237F07"/>
    <w:rsid w:val="00240907"/>
    <w:rsid w:val="00241030"/>
    <w:rsid w:val="00243D3A"/>
    <w:rsid w:val="00244B8D"/>
    <w:rsid w:val="00245CC7"/>
    <w:rsid w:val="00246452"/>
    <w:rsid w:val="0024751C"/>
    <w:rsid w:val="002509A5"/>
    <w:rsid w:val="00251389"/>
    <w:rsid w:val="002516B6"/>
    <w:rsid w:val="0025242C"/>
    <w:rsid w:val="00252B0A"/>
    <w:rsid w:val="002538AA"/>
    <w:rsid w:val="00253D48"/>
    <w:rsid w:val="00254F41"/>
    <w:rsid w:val="00255C11"/>
    <w:rsid w:val="00257076"/>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BE0"/>
    <w:rsid w:val="0029427D"/>
    <w:rsid w:val="00295B02"/>
    <w:rsid w:val="002966E9"/>
    <w:rsid w:val="002967FE"/>
    <w:rsid w:val="002971BF"/>
    <w:rsid w:val="00297A1A"/>
    <w:rsid w:val="00297C3B"/>
    <w:rsid w:val="002A00C3"/>
    <w:rsid w:val="002A2001"/>
    <w:rsid w:val="002A2305"/>
    <w:rsid w:val="002A263F"/>
    <w:rsid w:val="002A2855"/>
    <w:rsid w:val="002A3A6E"/>
    <w:rsid w:val="002A525F"/>
    <w:rsid w:val="002A5288"/>
    <w:rsid w:val="002A56A9"/>
    <w:rsid w:val="002A5C37"/>
    <w:rsid w:val="002A6076"/>
    <w:rsid w:val="002A64FC"/>
    <w:rsid w:val="002A731E"/>
    <w:rsid w:val="002A7D9B"/>
    <w:rsid w:val="002B039D"/>
    <w:rsid w:val="002B0439"/>
    <w:rsid w:val="002B0F3E"/>
    <w:rsid w:val="002B3890"/>
    <w:rsid w:val="002B39C1"/>
    <w:rsid w:val="002B5094"/>
    <w:rsid w:val="002B727E"/>
    <w:rsid w:val="002C04EF"/>
    <w:rsid w:val="002C1B24"/>
    <w:rsid w:val="002C30C5"/>
    <w:rsid w:val="002C336B"/>
    <w:rsid w:val="002C352D"/>
    <w:rsid w:val="002C373E"/>
    <w:rsid w:val="002C4FFE"/>
    <w:rsid w:val="002C69A7"/>
    <w:rsid w:val="002C73AE"/>
    <w:rsid w:val="002C744D"/>
    <w:rsid w:val="002C74EC"/>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2ED"/>
    <w:rsid w:val="002F558E"/>
    <w:rsid w:val="002F5868"/>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6E3"/>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30913"/>
    <w:rsid w:val="00330AB5"/>
    <w:rsid w:val="00330DC6"/>
    <w:rsid w:val="00332C70"/>
    <w:rsid w:val="003337AF"/>
    <w:rsid w:val="00333889"/>
    <w:rsid w:val="00333CB6"/>
    <w:rsid w:val="00336C0D"/>
    <w:rsid w:val="003377C7"/>
    <w:rsid w:val="00340154"/>
    <w:rsid w:val="00343684"/>
    <w:rsid w:val="00344F9B"/>
    <w:rsid w:val="0034677B"/>
    <w:rsid w:val="003469F4"/>
    <w:rsid w:val="00346ABD"/>
    <w:rsid w:val="00350EEC"/>
    <w:rsid w:val="00354125"/>
    <w:rsid w:val="003541C0"/>
    <w:rsid w:val="003549C9"/>
    <w:rsid w:val="00356A7D"/>
    <w:rsid w:val="00357D38"/>
    <w:rsid w:val="00360000"/>
    <w:rsid w:val="0036061D"/>
    <w:rsid w:val="00360969"/>
    <w:rsid w:val="00360E68"/>
    <w:rsid w:val="003622A5"/>
    <w:rsid w:val="00363A4E"/>
    <w:rsid w:val="00364A36"/>
    <w:rsid w:val="00364D1A"/>
    <w:rsid w:val="00365A37"/>
    <w:rsid w:val="003664A8"/>
    <w:rsid w:val="003671DC"/>
    <w:rsid w:val="0036754B"/>
    <w:rsid w:val="00367B2C"/>
    <w:rsid w:val="00370DD0"/>
    <w:rsid w:val="00371249"/>
    <w:rsid w:val="00373050"/>
    <w:rsid w:val="00374081"/>
    <w:rsid w:val="00375B17"/>
    <w:rsid w:val="00375D3C"/>
    <w:rsid w:val="00376734"/>
    <w:rsid w:val="00376D20"/>
    <w:rsid w:val="00377555"/>
    <w:rsid w:val="0038060A"/>
    <w:rsid w:val="00380967"/>
    <w:rsid w:val="003815D5"/>
    <w:rsid w:val="00381B14"/>
    <w:rsid w:val="00382748"/>
    <w:rsid w:val="00383451"/>
    <w:rsid w:val="00383DA3"/>
    <w:rsid w:val="0038489E"/>
    <w:rsid w:val="00384AD6"/>
    <w:rsid w:val="003852B0"/>
    <w:rsid w:val="00387FA1"/>
    <w:rsid w:val="00390D4B"/>
    <w:rsid w:val="0039161B"/>
    <w:rsid w:val="00391E2D"/>
    <w:rsid w:val="00393417"/>
    <w:rsid w:val="00396016"/>
    <w:rsid w:val="0039605C"/>
    <w:rsid w:val="00396E88"/>
    <w:rsid w:val="00397235"/>
    <w:rsid w:val="003974E4"/>
    <w:rsid w:val="003A034F"/>
    <w:rsid w:val="003A1316"/>
    <w:rsid w:val="003A16D2"/>
    <w:rsid w:val="003A1C4F"/>
    <w:rsid w:val="003A2119"/>
    <w:rsid w:val="003A27F2"/>
    <w:rsid w:val="003A4F90"/>
    <w:rsid w:val="003A509A"/>
    <w:rsid w:val="003A68FB"/>
    <w:rsid w:val="003A722C"/>
    <w:rsid w:val="003B09B1"/>
    <w:rsid w:val="003B0CAC"/>
    <w:rsid w:val="003B134C"/>
    <w:rsid w:val="003B1352"/>
    <w:rsid w:val="003B1910"/>
    <w:rsid w:val="003B1E98"/>
    <w:rsid w:val="003B26BF"/>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51F"/>
    <w:rsid w:val="003D3AF7"/>
    <w:rsid w:val="003D3C49"/>
    <w:rsid w:val="003D45FA"/>
    <w:rsid w:val="003D529F"/>
    <w:rsid w:val="003D6A88"/>
    <w:rsid w:val="003D7861"/>
    <w:rsid w:val="003E0306"/>
    <w:rsid w:val="003E1D9E"/>
    <w:rsid w:val="003E1DDF"/>
    <w:rsid w:val="003E1E0C"/>
    <w:rsid w:val="003E20BF"/>
    <w:rsid w:val="003E3E72"/>
    <w:rsid w:val="003E3F53"/>
    <w:rsid w:val="003E4B2E"/>
    <w:rsid w:val="003E5E34"/>
    <w:rsid w:val="003E6526"/>
    <w:rsid w:val="003E7DB2"/>
    <w:rsid w:val="003F08AC"/>
    <w:rsid w:val="003F3297"/>
    <w:rsid w:val="003F3354"/>
    <w:rsid w:val="003F4251"/>
    <w:rsid w:val="003F4A91"/>
    <w:rsid w:val="003F5881"/>
    <w:rsid w:val="003F705D"/>
    <w:rsid w:val="003F7F33"/>
    <w:rsid w:val="0040415F"/>
    <w:rsid w:val="00404A37"/>
    <w:rsid w:val="00404A65"/>
    <w:rsid w:val="00407E5F"/>
    <w:rsid w:val="004101E6"/>
    <w:rsid w:val="00410CCC"/>
    <w:rsid w:val="00413786"/>
    <w:rsid w:val="00413D26"/>
    <w:rsid w:val="00414233"/>
    <w:rsid w:val="004152E7"/>
    <w:rsid w:val="0041677E"/>
    <w:rsid w:val="004168E0"/>
    <w:rsid w:val="00416C73"/>
    <w:rsid w:val="00416D30"/>
    <w:rsid w:val="00420A53"/>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38CD"/>
    <w:rsid w:val="00433944"/>
    <w:rsid w:val="0043610D"/>
    <w:rsid w:val="004361C4"/>
    <w:rsid w:val="0043648D"/>
    <w:rsid w:val="00437929"/>
    <w:rsid w:val="00437BC0"/>
    <w:rsid w:val="00437DCD"/>
    <w:rsid w:val="00440FD3"/>
    <w:rsid w:val="0044230D"/>
    <w:rsid w:val="004423B2"/>
    <w:rsid w:val="00445B5C"/>
    <w:rsid w:val="00446B24"/>
    <w:rsid w:val="00446BF8"/>
    <w:rsid w:val="00447767"/>
    <w:rsid w:val="004477E0"/>
    <w:rsid w:val="00450CB9"/>
    <w:rsid w:val="004518B7"/>
    <w:rsid w:val="0045364F"/>
    <w:rsid w:val="00453737"/>
    <w:rsid w:val="00453E1C"/>
    <w:rsid w:val="0045494D"/>
    <w:rsid w:val="00455544"/>
    <w:rsid w:val="0045638C"/>
    <w:rsid w:val="00456B7F"/>
    <w:rsid w:val="004614D1"/>
    <w:rsid w:val="00461852"/>
    <w:rsid w:val="00463584"/>
    <w:rsid w:val="00463789"/>
    <w:rsid w:val="00463FDC"/>
    <w:rsid w:val="00464439"/>
    <w:rsid w:val="00464461"/>
    <w:rsid w:val="00464D9A"/>
    <w:rsid w:val="00466D64"/>
    <w:rsid w:val="00466E7D"/>
    <w:rsid w:val="00466E8F"/>
    <w:rsid w:val="00467847"/>
    <w:rsid w:val="00473666"/>
    <w:rsid w:val="00473C7F"/>
    <w:rsid w:val="00474D7D"/>
    <w:rsid w:val="0047596F"/>
    <w:rsid w:val="004803B6"/>
    <w:rsid w:val="00481B75"/>
    <w:rsid w:val="00481DC2"/>
    <w:rsid w:val="0048223C"/>
    <w:rsid w:val="00482D55"/>
    <w:rsid w:val="00482DD6"/>
    <w:rsid w:val="004839BD"/>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224"/>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4E4D"/>
    <w:rsid w:val="00516378"/>
    <w:rsid w:val="005207D3"/>
    <w:rsid w:val="00520A29"/>
    <w:rsid w:val="00520B6B"/>
    <w:rsid w:val="00520DFB"/>
    <w:rsid w:val="00521420"/>
    <w:rsid w:val="00522961"/>
    <w:rsid w:val="00522A3F"/>
    <w:rsid w:val="005235F8"/>
    <w:rsid w:val="00523AB0"/>
    <w:rsid w:val="00523F88"/>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757B"/>
    <w:rsid w:val="00547F57"/>
    <w:rsid w:val="005540AB"/>
    <w:rsid w:val="005541E2"/>
    <w:rsid w:val="00554AF8"/>
    <w:rsid w:val="00554C3D"/>
    <w:rsid w:val="00554F51"/>
    <w:rsid w:val="00555FF3"/>
    <w:rsid w:val="005560AC"/>
    <w:rsid w:val="00561B99"/>
    <w:rsid w:val="00562246"/>
    <w:rsid w:val="005629C8"/>
    <w:rsid w:val="00562D95"/>
    <w:rsid w:val="005630F1"/>
    <w:rsid w:val="00563EAB"/>
    <w:rsid w:val="00564CDE"/>
    <w:rsid w:val="00565693"/>
    <w:rsid w:val="005666FD"/>
    <w:rsid w:val="00567887"/>
    <w:rsid w:val="005702CA"/>
    <w:rsid w:val="00570A26"/>
    <w:rsid w:val="005710BD"/>
    <w:rsid w:val="005723CA"/>
    <w:rsid w:val="005741BF"/>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6419"/>
    <w:rsid w:val="0059754B"/>
    <w:rsid w:val="005A000C"/>
    <w:rsid w:val="005A0429"/>
    <w:rsid w:val="005A08C8"/>
    <w:rsid w:val="005A093C"/>
    <w:rsid w:val="005A29A1"/>
    <w:rsid w:val="005A4159"/>
    <w:rsid w:val="005A4792"/>
    <w:rsid w:val="005A635B"/>
    <w:rsid w:val="005A74A0"/>
    <w:rsid w:val="005B1B64"/>
    <w:rsid w:val="005B1DBB"/>
    <w:rsid w:val="005B2475"/>
    <w:rsid w:val="005B3D47"/>
    <w:rsid w:val="005B4266"/>
    <w:rsid w:val="005B5BC0"/>
    <w:rsid w:val="005B67F7"/>
    <w:rsid w:val="005B6C1E"/>
    <w:rsid w:val="005B7250"/>
    <w:rsid w:val="005B7E10"/>
    <w:rsid w:val="005C00E3"/>
    <w:rsid w:val="005C13BD"/>
    <w:rsid w:val="005C232C"/>
    <w:rsid w:val="005C269D"/>
    <w:rsid w:val="005C354C"/>
    <w:rsid w:val="005C4FEA"/>
    <w:rsid w:val="005C52D7"/>
    <w:rsid w:val="005C560A"/>
    <w:rsid w:val="005C5A17"/>
    <w:rsid w:val="005D0225"/>
    <w:rsid w:val="005D0A22"/>
    <w:rsid w:val="005D1FFD"/>
    <w:rsid w:val="005D2469"/>
    <w:rsid w:val="005D2D63"/>
    <w:rsid w:val="005D3EAA"/>
    <w:rsid w:val="005D54B5"/>
    <w:rsid w:val="005D5A2F"/>
    <w:rsid w:val="005D60D2"/>
    <w:rsid w:val="005D7886"/>
    <w:rsid w:val="005E02C1"/>
    <w:rsid w:val="005E054E"/>
    <w:rsid w:val="005E14D0"/>
    <w:rsid w:val="005E2C1B"/>
    <w:rsid w:val="005E3CCC"/>
    <w:rsid w:val="005E685B"/>
    <w:rsid w:val="005E6FE1"/>
    <w:rsid w:val="005E7044"/>
    <w:rsid w:val="005E7EE7"/>
    <w:rsid w:val="005F0493"/>
    <w:rsid w:val="005F1C4D"/>
    <w:rsid w:val="005F2CA6"/>
    <w:rsid w:val="005F4442"/>
    <w:rsid w:val="005F45AA"/>
    <w:rsid w:val="005F4DCA"/>
    <w:rsid w:val="005F4E54"/>
    <w:rsid w:val="005F529C"/>
    <w:rsid w:val="005F579E"/>
    <w:rsid w:val="005F5BD0"/>
    <w:rsid w:val="005F70C7"/>
    <w:rsid w:val="005F7CCB"/>
    <w:rsid w:val="00600A82"/>
    <w:rsid w:val="00600AEB"/>
    <w:rsid w:val="0060113D"/>
    <w:rsid w:val="0060136F"/>
    <w:rsid w:val="00601C53"/>
    <w:rsid w:val="00602831"/>
    <w:rsid w:val="00603A8E"/>
    <w:rsid w:val="00603F19"/>
    <w:rsid w:val="00604141"/>
    <w:rsid w:val="0060558A"/>
    <w:rsid w:val="00605981"/>
    <w:rsid w:val="00606B6E"/>
    <w:rsid w:val="00606CC9"/>
    <w:rsid w:val="00607214"/>
    <w:rsid w:val="00607CCD"/>
    <w:rsid w:val="0061203F"/>
    <w:rsid w:val="006127E8"/>
    <w:rsid w:val="00612E38"/>
    <w:rsid w:val="00614310"/>
    <w:rsid w:val="0061465E"/>
    <w:rsid w:val="00614AA3"/>
    <w:rsid w:val="006154BD"/>
    <w:rsid w:val="00616688"/>
    <w:rsid w:val="00620EF2"/>
    <w:rsid w:val="006210F3"/>
    <w:rsid w:val="00621F5E"/>
    <w:rsid w:val="00622F39"/>
    <w:rsid w:val="00624203"/>
    <w:rsid w:val="006242D4"/>
    <w:rsid w:val="00625B03"/>
    <w:rsid w:val="00626F0F"/>
    <w:rsid w:val="00630ABC"/>
    <w:rsid w:val="00631361"/>
    <w:rsid w:val="0063240C"/>
    <w:rsid w:val="006339A1"/>
    <w:rsid w:val="0063470E"/>
    <w:rsid w:val="00634851"/>
    <w:rsid w:val="006352C1"/>
    <w:rsid w:val="00635373"/>
    <w:rsid w:val="00635986"/>
    <w:rsid w:val="00637780"/>
    <w:rsid w:val="00637F5D"/>
    <w:rsid w:val="00641A13"/>
    <w:rsid w:val="00642AA4"/>
    <w:rsid w:val="00643836"/>
    <w:rsid w:val="00643E4E"/>
    <w:rsid w:val="00644D51"/>
    <w:rsid w:val="00646288"/>
    <w:rsid w:val="0064722E"/>
    <w:rsid w:val="006475B5"/>
    <w:rsid w:val="00650A2E"/>
    <w:rsid w:val="00650A95"/>
    <w:rsid w:val="00651B87"/>
    <w:rsid w:val="00651D6E"/>
    <w:rsid w:val="006534FF"/>
    <w:rsid w:val="00655D2A"/>
    <w:rsid w:val="00660EAB"/>
    <w:rsid w:val="006617D5"/>
    <w:rsid w:val="00662055"/>
    <w:rsid w:val="0066294D"/>
    <w:rsid w:val="006654A4"/>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31DA"/>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8A"/>
    <w:rsid w:val="006A34DF"/>
    <w:rsid w:val="006A4C74"/>
    <w:rsid w:val="006A6363"/>
    <w:rsid w:val="006A69FC"/>
    <w:rsid w:val="006A73D9"/>
    <w:rsid w:val="006A7930"/>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2C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860"/>
    <w:rsid w:val="00710982"/>
    <w:rsid w:val="00710A5F"/>
    <w:rsid w:val="007119CB"/>
    <w:rsid w:val="00711F1E"/>
    <w:rsid w:val="0071202E"/>
    <w:rsid w:val="007128BD"/>
    <w:rsid w:val="0071294B"/>
    <w:rsid w:val="00713F7E"/>
    <w:rsid w:val="00715F0C"/>
    <w:rsid w:val="00716751"/>
    <w:rsid w:val="0071743F"/>
    <w:rsid w:val="00717CA4"/>
    <w:rsid w:val="00721E45"/>
    <w:rsid w:val="00722C7F"/>
    <w:rsid w:val="00722DFF"/>
    <w:rsid w:val="007234F0"/>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1D"/>
    <w:rsid w:val="00742FB1"/>
    <w:rsid w:val="007430EC"/>
    <w:rsid w:val="00745A6C"/>
    <w:rsid w:val="00747B74"/>
    <w:rsid w:val="0075251D"/>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413"/>
    <w:rsid w:val="007856E2"/>
    <w:rsid w:val="00785E31"/>
    <w:rsid w:val="00785E8B"/>
    <w:rsid w:val="0078632D"/>
    <w:rsid w:val="007868A4"/>
    <w:rsid w:val="00786930"/>
    <w:rsid w:val="0078708D"/>
    <w:rsid w:val="00787E27"/>
    <w:rsid w:val="00790681"/>
    <w:rsid w:val="00790776"/>
    <w:rsid w:val="00791226"/>
    <w:rsid w:val="00791BD9"/>
    <w:rsid w:val="00792F6F"/>
    <w:rsid w:val="00792FDE"/>
    <w:rsid w:val="00793CE3"/>
    <w:rsid w:val="007974B3"/>
    <w:rsid w:val="007A320E"/>
    <w:rsid w:val="007A417D"/>
    <w:rsid w:val="007A4407"/>
    <w:rsid w:val="007A6E3F"/>
    <w:rsid w:val="007A7321"/>
    <w:rsid w:val="007A74C1"/>
    <w:rsid w:val="007A779D"/>
    <w:rsid w:val="007B0689"/>
    <w:rsid w:val="007B1209"/>
    <w:rsid w:val="007B1857"/>
    <w:rsid w:val="007B1891"/>
    <w:rsid w:val="007B308F"/>
    <w:rsid w:val="007B313D"/>
    <w:rsid w:val="007B4508"/>
    <w:rsid w:val="007B4D37"/>
    <w:rsid w:val="007B570E"/>
    <w:rsid w:val="007B5BB8"/>
    <w:rsid w:val="007B7323"/>
    <w:rsid w:val="007C1E7A"/>
    <w:rsid w:val="007C318A"/>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E6EC0"/>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ABF"/>
    <w:rsid w:val="00812102"/>
    <w:rsid w:val="00812CE8"/>
    <w:rsid w:val="00813134"/>
    <w:rsid w:val="008142FD"/>
    <w:rsid w:val="00815F47"/>
    <w:rsid w:val="00816337"/>
    <w:rsid w:val="0081753B"/>
    <w:rsid w:val="00817FA1"/>
    <w:rsid w:val="00820AE2"/>
    <w:rsid w:val="00821B51"/>
    <w:rsid w:val="00821C19"/>
    <w:rsid w:val="00822F8D"/>
    <w:rsid w:val="00823A33"/>
    <w:rsid w:val="00823DA4"/>
    <w:rsid w:val="00824022"/>
    <w:rsid w:val="008240D2"/>
    <w:rsid w:val="00825AC0"/>
    <w:rsid w:val="00826031"/>
    <w:rsid w:val="008263C0"/>
    <w:rsid w:val="008279A7"/>
    <w:rsid w:val="00827C18"/>
    <w:rsid w:val="008305B1"/>
    <w:rsid w:val="008307F3"/>
    <w:rsid w:val="00830F32"/>
    <w:rsid w:val="00831595"/>
    <w:rsid w:val="00833B53"/>
    <w:rsid w:val="00833EE1"/>
    <w:rsid w:val="00834932"/>
    <w:rsid w:val="00834991"/>
    <w:rsid w:val="0083535B"/>
    <w:rsid w:val="00836E48"/>
    <w:rsid w:val="008402AD"/>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275"/>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13BE"/>
    <w:rsid w:val="008718CB"/>
    <w:rsid w:val="00872A19"/>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49BA"/>
    <w:rsid w:val="008A647C"/>
    <w:rsid w:val="008A67E5"/>
    <w:rsid w:val="008A71F4"/>
    <w:rsid w:val="008B01D5"/>
    <w:rsid w:val="008B0389"/>
    <w:rsid w:val="008B42C4"/>
    <w:rsid w:val="008B4E1E"/>
    <w:rsid w:val="008B51A5"/>
    <w:rsid w:val="008B52E1"/>
    <w:rsid w:val="008B66F4"/>
    <w:rsid w:val="008B6B78"/>
    <w:rsid w:val="008B7574"/>
    <w:rsid w:val="008C0676"/>
    <w:rsid w:val="008C0D48"/>
    <w:rsid w:val="008C0DCF"/>
    <w:rsid w:val="008C19AF"/>
    <w:rsid w:val="008C4849"/>
    <w:rsid w:val="008C573C"/>
    <w:rsid w:val="008C5822"/>
    <w:rsid w:val="008C5848"/>
    <w:rsid w:val="008C5B90"/>
    <w:rsid w:val="008C5C3F"/>
    <w:rsid w:val="008C60D1"/>
    <w:rsid w:val="008C72F9"/>
    <w:rsid w:val="008C73E0"/>
    <w:rsid w:val="008C74B8"/>
    <w:rsid w:val="008D0065"/>
    <w:rsid w:val="008D09B6"/>
    <w:rsid w:val="008D0D90"/>
    <w:rsid w:val="008D131E"/>
    <w:rsid w:val="008D2F31"/>
    <w:rsid w:val="008D332C"/>
    <w:rsid w:val="008D4CE2"/>
    <w:rsid w:val="008D5DA8"/>
    <w:rsid w:val="008D609F"/>
    <w:rsid w:val="008D6F58"/>
    <w:rsid w:val="008D7C9D"/>
    <w:rsid w:val="008E03CC"/>
    <w:rsid w:val="008E0992"/>
    <w:rsid w:val="008E1AC6"/>
    <w:rsid w:val="008E211E"/>
    <w:rsid w:val="008E2204"/>
    <w:rsid w:val="008E2D87"/>
    <w:rsid w:val="008E3FB2"/>
    <w:rsid w:val="008E4B88"/>
    <w:rsid w:val="008E54A3"/>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8F63F6"/>
    <w:rsid w:val="0090008C"/>
    <w:rsid w:val="00900990"/>
    <w:rsid w:val="00900D0B"/>
    <w:rsid w:val="009020D3"/>
    <w:rsid w:val="00903C9E"/>
    <w:rsid w:val="009049F6"/>
    <w:rsid w:val="00904E78"/>
    <w:rsid w:val="00905371"/>
    <w:rsid w:val="00905811"/>
    <w:rsid w:val="00907342"/>
    <w:rsid w:val="00907350"/>
    <w:rsid w:val="00910FDE"/>
    <w:rsid w:val="009110FD"/>
    <w:rsid w:val="0091179E"/>
    <w:rsid w:val="009123FF"/>
    <w:rsid w:val="0091242B"/>
    <w:rsid w:val="00913AF9"/>
    <w:rsid w:val="0091489F"/>
    <w:rsid w:val="009151B3"/>
    <w:rsid w:val="009159DC"/>
    <w:rsid w:val="00916047"/>
    <w:rsid w:val="0091730E"/>
    <w:rsid w:val="00920B90"/>
    <w:rsid w:val="00921093"/>
    <w:rsid w:val="00921DFD"/>
    <w:rsid w:val="00922B2D"/>
    <w:rsid w:val="00923CF3"/>
    <w:rsid w:val="009240FF"/>
    <w:rsid w:val="009241D6"/>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F81"/>
    <w:rsid w:val="009526CF"/>
    <w:rsid w:val="00953530"/>
    <w:rsid w:val="00953558"/>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4A87"/>
    <w:rsid w:val="00975C9F"/>
    <w:rsid w:val="00976417"/>
    <w:rsid w:val="00976A7E"/>
    <w:rsid w:val="00976ABB"/>
    <w:rsid w:val="009772EE"/>
    <w:rsid w:val="009778B8"/>
    <w:rsid w:val="009805E2"/>
    <w:rsid w:val="00983773"/>
    <w:rsid w:val="009848A5"/>
    <w:rsid w:val="00984B5C"/>
    <w:rsid w:val="0098545A"/>
    <w:rsid w:val="00986B1C"/>
    <w:rsid w:val="00987015"/>
    <w:rsid w:val="00991E25"/>
    <w:rsid w:val="00992942"/>
    <w:rsid w:val="009931E2"/>
    <w:rsid w:val="00993B72"/>
    <w:rsid w:val="0099611E"/>
    <w:rsid w:val="00996687"/>
    <w:rsid w:val="00997E43"/>
    <w:rsid w:val="009A0F02"/>
    <w:rsid w:val="009A1782"/>
    <w:rsid w:val="009A39E7"/>
    <w:rsid w:val="009A4301"/>
    <w:rsid w:val="009A48EC"/>
    <w:rsid w:val="009A54B9"/>
    <w:rsid w:val="009A576C"/>
    <w:rsid w:val="009A5FDD"/>
    <w:rsid w:val="009B0FC1"/>
    <w:rsid w:val="009B1D3E"/>
    <w:rsid w:val="009B23EF"/>
    <w:rsid w:val="009B27F0"/>
    <w:rsid w:val="009B3162"/>
    <w:rsid w:val="009B3364"/>
    <w:rsid w:val="009B4823"/>
    <w:rsid w:val="009B6713"/>
    <w:rsid w:val="009B712C"/>
    <w:rsid w:val="009C067D"/>
    <w:rsid w:val="009C0ACB"/>
    <w:rsid w:val="009C0D12"/>
    <w:rsid w:val="009C108E"/>
    <w:rsid w:val="009C2618"/>
    <w:rsid w:val="009C323E"/>
    <w:rsid w:val="009C34F6"/>
    <w:rsid w:val="009C44B7"/>
    <w:rsid w:val="009C64FE"/>
    <w:rsid w:val="009D141E"/>
    <w:rsid w:val="009D1D35"/>
    <w:rsid w:val="009D21D1"/>
    <w:rsid w:val="009D40C2"/>
    <w:rsid w:val="009D61D3"/>
    <w:rsid w:val="009D623D"/>
    <w:rsid w:val="009D6F7B"/>
    <w:rsid w:val="009E19C0"/>
    <w:rsid w:val="009E242A"/>
    <w:rsid w:val="009E3D54"/>
    <w:rsid w:val="009E4F97"/>
    <w:rsid w:val="009E6896"/>
    <w:rsid w:val="009E7AEF"/>
    <w:rsid w:val="009E7DB0"/>
    <w:rsid w:val="009F0B2F"/>
    <w:rsid w:val="009F1A16"/>
    <w:rsid w:val="009F1F31"/>
    <w:rsid w:val="009F2387"/>
    <w:rsid w:val="009F2451"/>
    <w:rsid w:val="009F30E0"/>
    <w:rsid w:val="009F35D9"/>
    <w:rsid w:val="009F4043"/>
    <w:rsid w:val="009F64B4"/>
    <w:rsid w:val="009F6DD5"/>
    <w:rsid w:val="009F6F00"/>
    <w:rsid w:val="009F764B"/>
    <w:rsid w:val="00A0199D"/>
    <w:rsid w:val="00A028A6"/>
    <w:rsid w:val="00A03942"/>
    <w:rsid w:val="00A04BD5"/>
    <w:rsid w:val="00A04DA0"/>
    <w:rsid w:val="00A0543C"/>
    <w:rsid w:val="00A07425"/>
    <w:rsid w:val="00A1261C"/>
    <w:rsid w:val="00A1355E"/>
    <w:rsid w:val="00A14562"/>
    <w:rsid w:val="00A1489D"/>
    <w:rsid w:val="00A158FE"/>
    <w:rsid w:val="00A15AAB"/>
    <w:rsid w:val="00A21AE1"/>
    <w:rsid w:val="00A21C82"/>
    <w:rsid w:val="00A23BD6"/>
    <w:rsid w:val="00A245CE"/>
    <w:rsid w:val="00A26008"/>
    <w:rsid w:val="00A26812"/>
    <w:rsid w:val="00A2705B"/>
    <w:rsid w:val="00A2767C"/>
    <w:rsid w:val="00A2782C"/>
    <w:rsid w:val="00A27E58"/>
    <w:rsid w:val="00A31CA0"/>
    <w:rsid w:val="00A32543"/>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1FE"/>
    <w:rsid w:val="00A51314"/>
    <w:rsid w:val="00A51B4D"/>
    <w:rsid w:val="00A5217C"/>
    <w:rsid w:val="00A53B03"/>
    <w:rsid w:val="00A53DAA"/>
    <w:rsid w:val="00A546D4"/>
    <w:rsid w:val="00A54A41"/>
    <w:rsid w:val="00A54FB7"/>
    <w:rsid w:val="00A552AD"/>
    <w:rsid w:val="00A56579"/>
    <w:rsid w:val="00A56FEA"/>
    <w:rsid w:val="00A57637"/>
    <w:rsid w:val="00A600CC"/>
    <w:rsid w:val="00A60634"/>
    <w:rsid w:val="00A60DC8"/>
    <w:rsid w:val="00A62051"/>
    <w:rsid w:val="00A62674"/>
    <w:rsid w:val="00A6291C"/>
    <w:rsid w:val="00A62A22"/>
    <w:rsid w:val="00A63159"/>
    <w:rsid w:val="00A63412"/>
    <w:rsid w:val="00A63973"/>
    <w:rsid w:val="00A64681"/>
    <w:rsid w:val="00A64C30"/>
    <w:rsid w:val="00A667CF"/>
    <w:rsid w:val="00A67439"/>
    <w:rsid w:val="00A67761"/>
    <w:rsid w:val="00A70021"/>
    <w:rsid w:val="00A700A5"/>
    <w:rsid w:val="00A70229"/>
    <w:rsid w:val="00A70F72"/>
    <w:rsid w:val="00A7207A"/>
    <w:rsid w:val="00A75430"/>
    <w:rsid w:val="00A77E78"/>
    <w:rsid w:val="00A80635"/>
    <w:rsid w:val="00A8083D"/>
    <w:rsid w:val="00A8291E"/>
    <w:rsid w:val="00A82990"/>
    <w:rsid w:val="00A8303B"/>
    <w:rsid w:val="00A83464"/>
    <w:rsid w:val="00A83A2E"/>
    <w:rsid w:val="00A847EA"/>
    <w:rsid w:val="00A85141"/>
    <w:rsid w:val="00A8567E"/>
    <w:rsid w:val="00A861AC"/>
    <w:rsid w:val="00A8622F"/>
    <w:rsid w:val="00A87697"/>
    <w:rsid w:val="00A90389"/>
    <w:rsid w:val="00A915E6"/>
    <w:rsid w:val="00A9221E"/>
    <w:rsid w:val="00A93746"/>
    <w:rsid w:val="00A93829"/>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AFB"/>
    <w:rsid w:val="00AA6CD4"/>
    <w:rsid w:val="00AA6E7A"/>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32A"/>
    <w:rsid w:val="00AC1460"/>
    <w:rsid w:val="00AC1A61"/>
    <w:rsid w:val="00AC2FCA"/>
    <w:rsid w:val="00AC4187"/>
    <w:rsid w:val="00AC452E"/>
    <w:rsid w:val="00AC4D3D"/>
    <w:rsid w:val="00AC4F93"/>
    <w:rsid w:val="00AC5841"/>
    <w:rsid w:val="00AC7A41"/>
    <w:rsid w:val="00AD045A"/>
    <w:rsid w:val="00AD09E2"/>
    <w:rsid w:val="00AD3529"/>
    <w:rsid w:val="00AD40FF"/>
    <w:rsid w:val="00AD503A"/>
    <w:rsid w:val="00AD5721"/>
    <w:rsid w:val="00AD687C"/>
    <w:rsid w:val="00AD75E2"/>
    <w:rsid w:val="00AE11CA"/>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2180"/>
    <w:rsid w:val="00B02F7D"/>
    <w:rsid w:val="00B0355B"/>
    <w:rsid w:val="00B03911"/>
    <w:rsid w:val="00B04090"/>
    <w:rsid w:val="00B05080"/>
    <w:rsid w:val="00B05E55"/>
    <w:rsid w:val="00B0629C"/>
    <w:rsid w:val="00B07F53"/>
    <w:rsid w:val="00B11E9D"/>
    <w:rsid w:val="00B1276B"/>
    <w:rsid w:val="00B129A3"/>
    <w:rsid w:val="00B13396"/>
    <w:rsid w:val="00B14158"/>
    <w:rsid w:val="00B14C06"/>
    <w:rsid w:val="00B14E28"/>
    <w:rsid w:val="00B15901"/>
    <w:rsid w:val="00B16BBB"/>
    <w:rsid w:val="00B178E2"/>
    <w:rsid w:val="00B20EA3"/>
    <w:rsid w:val="00B219AF"/>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55E1F"/>
    <w:rsid w:val="00B60119"/>
    <w:rsid w:val="00B63A2E"/>
    <w:rsid w:val="00B650D7"/>
    <w:rsid w:val="00B6557A"/>
    <w:rsid w:val="00B65875"/>
    <w:rsid w:val="00B70CED"/>
    <w:rsid w:val="00B717F5"/>
    <w:rsid w:val="00B746F5"/>
    <w:rsid w:val="00B7476A"/>
    <w:rsid w:val="00B74B3F"/>
    <w:rsid w:val="00B7515B"/>
    <w:rsid w:val="00B7563B"/>
    <w:rsid w:val="00B77030"/>
    <w:rsid w:val="00B7706C"/>
    <w:rsid w:val="00B80119"/>
    <w:rsid w:val="00B80847"/>
    <w:rsid w:val="00B81D5F"/>
    <w:rsid w:val="00B81ED4"/>
    <w:rsid w:val="00B821F8"/>
    <w:rsid w:val="00B82CB6"/>
    <w:rsid w:val="00B82D61"/>
    <w:rsid w:val="00B833C1"/>
    <w:rsid w:val="00B83C72"/>
    <w:rsid w:val="00B83D11"/>
    <w:rsid w:val="00B86FEB"/>
    <w:rsid w:val="00B87029"/>
    <w:rsid w:val="00B87086"/>
    <w:rsid w:val="00B90CAF"/>
    <w:rsid w:val="00B92599"/>
    <w:rsid w:val="00B93AA9"/>
    <w:rsid w:val="00B93EBB"/>
    <w:rsid w:val="00B96379"/>
    <w:rsid w:val="00B96392"/>
    <w:rsid w:val="00BA143B"/>
    <w:rsid w:val="00BA21EE"/>
    <w:rsid w:val="00BA2B02"/>
    <w:rsid w:val="00BA3FF1"/>
    <w:rsid w:val="00BA3FF8"/>
    <w:rsid w:val="00BA40EE"/>
    <w:rsid w:val="00BA6216"/>
    <w:rsid w:val="00BA68F0"/>
    <w:rsid w:val="00BA6AEF"/>
    <w:rsid w:val="00BB0E40"/>
    <w:rsid w:val="00BB2158"/>
    <w:rsid w:val="00BB288F"/>
    <w:rsid w:val="00BB2BA4"/>
    <w:rsid w:val="00BB3327"/>
    <w:rsid w:val="00BB410E"/>
    <w:rsid w:val="00BB471D"/>
    <w:rsid w:val="00BB4E70"/>
    <w:rsid w:val="00BB6085"/>
    <w:rsid w:val="00BB7781"/>
    <w:rsid w:val="00BC0286"/>
    <w:rsid w:val="00BC0548"/>
    <w:rsid w:val="00BC0653"/>
    <w:rsid w:val="00BC1F63"/>
    <w:rsid w:val="00BC2C45"/>
    <w:rsid w:val="00BC3F25"/>
    <w:rsid w:val="00BC507C"/>
    <w:rsid w:val="00BC5681"/>
    <w:rsid w:val="00BC5BF3"/>
    <w:rsid w:val="00BC737C"/>
    <w:rsid w:val="00BC7609"/>
    <w:rsid w:val="00BD1908"/>
    <w:rsid w:val="00BD26DE"/>
    <w:rsid w:val="00BD2BC1"/>
    <w:rsid w:val="00BD30E5"/>
    <w:rsid w:val="00BD3784"/>
    <w:rsid w:val="00BD3B90"/>
    <w:rsid w:val="00BD3F74"/>
    <w:rsid w:val="00BD3FB1"/>
    <w:rsid w:val="00BD4470"/>
    <w:rsid w:val="00BD469C"/>
    <w:rsid w:val="00BD61A2"/>
    <w:rsid w:val="00BE008E"/>
    <w:rsid w:val="00BE01E7"/>
    <w:rsid w:val="00BE053D"/>
    <w:rsid w:val="00BE106B"/>
    <w:rsid w:val="00BE1D46"/>
    <w:rsid w:val="00BE2D35"/>
    <w:rsid w:val="00BE487B"/>
    <w:rsid w:val="00BE498B"/>
    <w:rsid w:val="00BE767F"/>
    <w:rsid w:val="00BF2449"/>
    <w:rsid w:val="00BF2EE4"/>
    <w:rsid w:val="00BF43C5"/>
    <w:rsid w:val="00BF59BF"/>
    <w:rsid w:val="00BF624C"/>
    <w:rsid w:val="00BF65A7"/>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87"/>
    <w:rsid w:val="00C276E5"/>
    <w:rsid w:val="00C30485"/>
    <w:rsid w:val="00C30533"/>
    <w:rsid w:val="00C320DF"/>
    <w:rsid w:val="00C33BDD"/>
    <w:rsid w:val="00C34726"/>
    <w:rsid w:val="00C34B5C"/>
    <w:rsid w:val="00C34E8B"/>
    <w:rsid w:val="00C35021"/>
    <w:rsid w:val="00C36EDE"/>
    <w:rsid w:val="00C3762E"/>
    <w:rsid w:val="00C4121A"/>
    <w:rsid w:val="00C412C7"/>
    <w:rsid w:val="00C421E9"/>
    <w:rsid w:val="00C426ED"/>
    <w:rsid w:val="00C4344F"/>
    <w:rsid w:val="00C44070"/>
    <w:rsid w:val="00C4407C"/>
    <w:rsid w:val="00C44BF6"/>
    <w:rsid w:val="00C44EDF"/>
    <w:rsid w:val="00C45208"/>
    <w:rsid w:val="00C45A32"/>
    <w:rsid w:val="00C45BAF"/>
    <w:rsid w:val="00C461E3"/>
    <w:rsid w:val="00C46654"/>
    <w:rsid w:val="00C47895"/>
    <w:rsid w:val="00C5050A"/>
    <w:rsid w:val="00C50B01"/>
    <w:rsid w:val="00C50C39"/>
    <w:rsid w:val="00C526CD"/>
    <w:rsid w:val="00C52904"/>
    <w:rsid w:val="00C537FF"/>
    <w:rsid w:val="00C55EF4"/>
    <w:rsid w:val="00C567B7"/>
    <w:rsid w:val="00C56A0E"/>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7DC4"/>
    <w:rsid w:val="00C805C0"/>
    <w:rsid w:val="00C8222E"/>
    <w:rsid w:val="00C85176"/>
    <w:rsid w:val="00C86694"/>
    <w:rsid w:val="00C8681C"/>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8F7"/>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B60CA"/>
    <w:rsid w:val="00CC105D"/>
    <w:rsid w:val="00CC1796"/>
    <w:rsid w:val="00CC1D65"/>
    <w:rsid w:val="00CC24A5"/>
    <w:rsid w:val="00CC24A8"/>
    <w:rsid w:val="00CC3790"/>
    <w:rsid w:val="00CC3A71"/>
    <w:rsid w:val="00CC3DB3"/>
    <w:rsid w:val="00CC49E1"/>
    <w:rsid w:val="00CC554C"/>
    <w:rsid w:val="00CC5603"/>
    <w:rsid w:val="00CC60E5"/>
    <w:rsid w:val="00CC7718"/>
    <w:rsid w:val="00CC78C1"/>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E7198"/>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A83"/>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B74"/>
    <w:rsid w:val="00D36D4B"/>
    <w:rsid w:val="00D3761A"/>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57EB"/>
    <w:rsid w:val="00D90661"/>
    <w:rsid w:val="00D91454"/>
    <w:rsid w:val="00D917D6"/>
    <w:rsid w:val="00D920D5"/>
    <w:rsid w:val="00D92663"/>
    <w:rsid w:val="00D929B2"/>
    <w:rsid w:val="00D92D06"/>
    <w:rsid w:val="00D936B9"/>
    <w:rsid w:val="00D94A4C"/>
    <w:rsid w:val="00D94C6C"/>
    <w:rsid w:val="00D961A8"/>
    <w:rsid w:val="00D9626F"/>
    <w:rsid w:val="00D96D89"/>
    <w:rsid w:val="00D9792E"/>
    <w:rsid w:val="00DA0B21"/>
    <w:rsid w:val="00DA276C"/>
    <w:rsid w:val="00DA3C9A"/>
    <w:rsid w:val="00DA4295"/>
    <w:rsid w:val="00DA5812"/>
    <w:rsid w:val="00DA65C4"/>
    <w:rsid w:val="00DA69DA"/>
    <w:rsid w:val="00DB0C9A"/>
    <w:rsid w:val="00DB0DCC"/>
    <w:rsid w:val="00DB25ED"/>
    <w:rsid w:val="00DB2D3A"/>
    <w:rsid w:val="00DB4840"/>
    <w:rsid w:val="00DB5D71"/>
    <w:rsid w:val="00DB6119"/>
    <w:rsid w:val="00DB6ECA"/>
    <w:rsid w:val="00DC0632"/>
    <w:rsid w:val="00DC08E8"/>
    <w:rsid w:val="00DC14DE"/>
    <w:rsid w:val="00DC2762"/>
    <w:rsid w:val="00DC2F9F"/>
    <w:rsid w:val="00DC4BFB"/>
    <w:rsid w:val="00DC67F6"/>
    <w:rsid w:val="00DC6B30"/>
    <w:rsid w:val="00DC6F79"/>
    <w:rsid w:val="00DC7657"/>
    <w:rsid w:val="00DD0571"/>
    <w:rsid w:val="00DD09EE"/>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F5"/>
    <w:rsid w:val="00DF40B4"/>
    <w:rsid w:val="00DF44D4"/>
    <w:rsid w:val="00DF4708"/>
    <w:rsid w:val="00DF4D74"/>
    <w:rsid w:val="00DF57FE"/>
    <w:rsid w:val="00DF6179"/>
    <w:rsid w:val="00DF6556"/>
    <w:rsid w:val="00DF6E3F"/>
    <w:rsid w:val="00DF7253"/>
    <w:rsid w:val="00DF726C"/>
    <w:rsid w:val="00DF7907"/>
    <w:rsid w:val="00DF7D23"/>
    <w:rsid w:val="00E001C0"/>
    <w:rsid w:val="00E0047D"/>
    <w:rsid w:val="00E015DE"/>
    <w:rsid w:val="00E022E5"/>
    <w:rsid w:val="00E0293C"/>
    <w:rsid w:val="00E03CE0"/>
    <w:rsid w:val="00E0403A"/>
    <w:rsid w:val="00E04856"/>
    <w:rsid w:val="00E05E40"/>
    <w:rsid w:val="00E06C4C"/>
    <w:rsid w:val="00E06FC6"/>
    <w:rsid w:val="00E072CA"/>
    <w:rsid w:val="00E07BE8"/>
    <w:rsid w:val="00E10C2E"/>
    <w:rsid w:val="00E11284"/>
    <w:rsid w:val="00E118D9"/>
    <w:rsid w:val="00E13982"/>
    <w:rsid w:val="00E1416B"/>
    <w:rsid w:val="00E15062"/>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2707"/>
    <w:rsid w:val="00E339C6"/>
    <w:rsid w:val="00E340F0"/>
    <w:rsid w:val="00E364A7"/>
    <w:rsid w:val="00E36664"/>
    <w:rsid w:val="00E40339"/>
    <w:rsid w:val="00E40585"/>
    <w:rsid w:val="00E42D3F"/>
    <w:rsid w:val="00E43B62"/>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1639"/>
    <w:rsid w:val="00E72CB5"/>
    <w:rsid w:val="00E72FFB"/>
    <w:rsid w:val="00E745D8"/>
    <w:rsid w:val="00E7460A"/>
    <w:rsid w:val="00E75016"/>
    <w:rsid w:val="00E751C7"/>
    <w:rsid w:val="00E757A9"/>
    <w:rsid w:val="00E77000"/>
    <w:rsid w:val="00E7790C"/>
    <w:rsid w:val="00E77E6F"/>
    <w:rsid w:val="00E80BE2"/>
    <w:rsid w:val="00E81BDF"/>
    <w:rsid w:val="00E81CFA"/>
    <w:rsid w:val="00E82165"/>
    <w:rsid w:val="00E82ECB"/>
    <w:rsid w:val="00E84CD2"/>
    <w:rsid w:val="00E86E47"/>
    <w:rsid w:val="00E86F37"/>
    <w:rsid w:val="00E87690"/>
    <w:rsid w:val="00E87A53"/>
    <w:rsid w:val="00E87D45"/>
    <w:rsid w:val="00E90916"/>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57C4"/>
    <w:rsid w:val="00EB5C6D"/>
    <w:rsid w:val="00EB6358"/>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67BC"/>
    <w:rsid w:val="00EF68BB"/>
    <w:rsid w:val="00EF6A7F"/>
    <w:rsid w:val="00EF6DAE"/>
    <w:rsid w:val="00EF79A7"/>
    <w:rsid w:val="00EF7A09"/>
    <w:rsid w:val="00EF7A45"/>
    <w:rsid w:val="00F00BCD"/>
    <w:rsid w:val="00F00BDB"/>
    <w:rsid w:val="00F01B54"/>
    <w:rsid w:val="00F01B93"/>
    <w:rsid w:val="00F01DBC"/>
    <w:rsid w:val="00F02311"/>
    <w:rsid w:val="00F027CF"/>
    <w:rsid w:val="00F0281A"/>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5755"/>
    <w:rsid w:val="00F260A6"/>
    <w:rsid w:val="00F3005F"/>
    <w:rsid w:val="00F30917"/>
    <w:rsid w:val="00F3297C"/>
    <w:rsid w:val="00F32A46"/>
    <w:rsid w:val="00F332CA"/>
    <w:rsid w:val="00F334EB"/>
    <w:rsid w:val="00F33819"/>
    <w:rsid w:val="00F33A24"/>
    <w:rsid w:val="00F35F28"/>
    <w:rsid w:val="00F361FB"/>
    <w:rsid w:val="00F36BA5"/>
    <w:rsid w:val="00F3723F"/>
    <w:rsid w:val="00F37244"/>
    <w:rsid w:val="00F378F5"/>
    <w:rsid w:val="00F401E9"/>
    <w:rsid w:val="00F42256"/>
    <w:rsid w:val="00F42B18"/>
    <w:rsid w:val="00F43487"/>
    <w:rsid w:val="00F44336"/>
    <w:rsid w:val="00F44E94"/>
    <w:rsid w:val="00F45072"/>
    <w:rsid w:val="00F468D6"/>
    <w:rsid w:val="00F46C63"/>
    <w:rsid w:val="00F50D46"/>
    <w:rsid w:val="00F5256A"/>
    <w:rsid w:val="00F528CC"/>
    <w:rsid w:val="00F5371D"/>
    <w:rsid w:val="00F537D7"/>
    <w:rsid w:val="00F54A3D"/>
    <w:rsid w:val="00F55187"/>
    <w:rsid w:val="00F5519C"/>
    <w:rsid w:val="00F57715"/>
    <w:rsid w:val="00F57E39"/>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FEF"/>
    <w:rsid w:val="00F752F0"/>
    <w:rsid w:val="00F753B0"/>
    <w:rsid w:val="00F754D4"/>
    <w:rsid w:val="00F7578B"/>
    <w:rsid w:val="00F764C0"/>
    <w:rsid w:val="00F77D40"/>
    <w:rsid w:val="00F80BE4"/>
    <w:rsid w:val="00F81EA3"/>
    <w:rsid w:val="00F82B3F"/>
    <w:rsid w:val="00F82B40"/>
    <w:rsid w:val="00F83465"/>
    <w:rsid w:val="00F8453F"/>
    <w:rsid w:val="00F8545F"/>
    <w:rsid w:val="00F8563D"/>
    <w:rsid w:val="00F85A16"/>
    <w:rsid w:val="00F87253"/>
    <w:rsid w:val="00F87DDD"/>
    <w:rsid w:val="00F87FA3"/>
    <w:rsid w:val="00F909F3"/>
    <w:rsid w:val="00F911A4"/>
    <w:rsid w:val="00F923C6"/>
    <w:rsid w:val="00F92539"/>
    <w:rsid w:val="00F93DA0"/>
    <w:rsid w:val="00F96F31"/>
    <w:rsid w:val="00FA0777"/>
    <w:rsid w:val="00FA0EE8"/>
    <w:rsid w:val="00FA17E7"/>
    <w:rsid w:val="00FA1C50"/>
    <w:rsid w:val="00FA28C8"/>
    <w:rsid w:val="00FA2A7E"/>
    <w:rsid w:val="00FA3175"/>
    <w:rsid w:val="00FA373A"/>
    <w:rsid w:val="00FA3FCC"/>
    <w:rsid w:val="00FA41D3"/>
    <w:rsid w:val="00FA5003"/>
    <w:rsid w:val="00FA5BFB"/>
    <w:rsid w:val="00FA5C2B"/>
    <w:rsid w:val="00FA658F"/>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732"/>
    <w:rsid w:val="00FC41DC"/>
    <w:rsid w:val="00FC49E8"/>
    <w:rsid w:val="00FC4D65"/>
    <w:rsid w:val="00FC5237"/>
    <w:rsid w:val="00FC6170"/>
    <w:rsid w:val="00FC6212"/>
    <w:rsid w:val="00FC675A"/>
    <w:rsid w:val="00FC6D3B"/>
    <w:rsid w:val="00FC7DB8"/>
    <w:rsid w:val="00FD0C5B"/>
    <w:rsid w:val="00FD107C"/>
    <w:rsid w:val="00FD1553"/>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0"/>
        <w:numId w:val="0"/>
      </w:numPr>
      <w:tabs>
        <w:tab w:val="left" w:pos="8640"/>
      </w:tabs>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0"/>
    <w:next w:val="a5"/>
    <w:link w:val="4Char"/>
    <w:qFormat/>
    <w:pPr>
      <w:outlineLvl w:val="3"/>
    </w:pPr>
    <w:rPr>
      <w:sz w:val="24"/>
    </w:rPr>
  </w:style>
  <w:style w:type="paragraph" w:styleId="5">
    <w:name w:val="heading 5"/>
    <w:aliases w:val="h5,Heading5,Head5,H5,M5,mh2,Module heading 2,heading 8,Numbered Sub-list,Heading 81,标题 81,Heading 811,Heading 8111"/>
    <w:basedOn w:val="41"/>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3">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3"/>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uiPriority w:val="99"/>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5">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qFormat/>
    <w:p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4"/>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6">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0"/>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4"/>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5"/>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6"/>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7"/>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8"/>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9"/>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30"/>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1"/>
    <w:next w:val="a5"/>
    <w:uiPriority w:val="99"/>
    <w:qFormat/>
    <w:rsid w:val="00AB5FE3"/>
    <w:pPr>
      <w:numPr>
        <w:numId w:val="31"/>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8">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2"/>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9">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a">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3"/>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1"/>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1"/>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4"/>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5"/>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6"/>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7"/>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8"/>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c">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d">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 w:type="paragraph" w:customStyle="1" w:styleId="40">
    <w:name w:val="标题4"/>
    <w:basedOn w:val="a5"/>
    <w:rsid w:val="00F753B0"/>
    <w:pPr>
      <w:numPr>
        <w:numId w:val="50"/>
      </w:numPr>
      <w:suppressAutoHyphens w:val="0"/>
      <w:overflowPunct/>
      <w:autoSpaceDE/>
      <w:textAlignment w:val="auto"/>
    </w:pPr>
    <w:rPr>
      <w:rFonts w:eastAsia="Times New Roman" w:cs="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0.wmf"/><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0.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EE376-D47F-44EB-B48E-4DF4B95EE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7733</TotalTime>
  <Pages>5</Pages>
  <Words>1702</Words>
  <Characters>9708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11388</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254</cp:revision>
  <cp:lastPrinted>1995-11-21T09:41:00Z</cp:lastPrinted>
  <dcterms:created xsi:type="dcterms:W3CDTF">2024-03-25T07:11:00Z</dcterms:created>
  <dcterms:modified xsi:type="dcterms:W3CDTF">2024-11-08T19:16:00Z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